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cs="Times New Roman" w:asciiTheme="minorEastAsia" w:hAnsiTheme="minorEastAsia"/>
          <w:b/>
          <w:kern w:val="0"/>
          <w:sz w:val="36"/>
          <w:szCs w:val="36"/>
          <w:u w:val="single"/>
        </w:rPr>
      </w:pPr>
    </w:p>
    <w:p>
      <w:pPr>
        <w:pageBreakBefore w:val="0"/>
        <w:widowControl/>
        <w:shd w:val="clear" w:color="auto" w:fill="FFFFFF"/>
        <w:kinsoku/>
        <w:wordWrap/>
        <w:overflowPunct/>
        <w:topLinePunct w:val="0"/>
        <w:autoSpaceDE/>
        <w:autoSpaceDN/>
        <w:bidi w:val="0"/>
        <w:adjustRightInd/>
        <w:snapToGrid/>
        <w:spacing w:line="500" w:lineRule="exact"/>
        <w:jc w:val="center"/>
        <w:textAlignment w:val="auto"/>
        <w:outlineLvl w:val="0"/>
        <w:rPr>
          <w:rFonts w:asciiTheme="majorEastAsia" w:hAnsiTheme="majorEastAsia" w:eastAsiaTheme="majorEastAsia" w:cstheme="majorEastAsia"/>
          <w:b/>
          <w:bCs/>
          <w:color w:val="000000"/>
          <w:kern w:val="0"/>
          <w:sz w:val="36"/>
          <w:szCs w:val="36"/>
        </w:rPr>
      </w:pPr>
      <w:bookmarkStart w:id="3" w:name="_GoBack"/>
      <w:r>
        <w:rPr>
          <w:rFonts w:hint="eastAsia" w:ascii="宋体" w:hAnsi="宋体" w:eastAsia="宋体" w:cs="宋体"/>
          <w:b/>
          <w:bCs/>
          <w:color w:val="000000"/>
          <w:kern w:val="0"/>
          <w:sz w:val="36"/>
          <w:szCs w:val="36"/>
          <w:highlight w:val="none"/>
          <w:lang w:val="en-US" w:eastAsia="zh-CN"/>
        </w:rPr>
        <w:t>员工宿舍、大学生公寓室内设施采购项目</w:t>
      </w:r>
      <w:r>
        <w:rPr>
          <w:rFonts w:asciiTheme="majorEastAsia" w:hAnsiTheme="majorEastAsia" w:eastAsiaTheme="majorEastAsia" w:cstheme="majorEastAsia"/>
          <w:b/>
          <w:color w:val="000000"/>
          <w:kern w:val="0"/>
          <w:sz w:val="36"/>
          <w:szCs w:val="36"/>
        </w:rPr>
        <w:t>文件</w:t>
      </w:r>
      <w:bookmarkEnd w:id="3"/>
    </w:p>
    <w:p>
      <w:pPr>
        <w:pStyle w:val="9"/>
        <w:rPr>
          <w:rFonts w:ascii="宋体" w:hAnsi="宋体" w:eastAsia="宋体" w:cs="宋体"/>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rPr>
          <w:rFonts w:cs="Times New Roman" w:asciiTheme="minorEastAsia" w:hAnsiTheme="minorEastAsia"/>
          <w:b/>
          <w:kern w:val="0"/>
          <w:sz w:val="36"/>
          <w:szCs w:val="36"/>
        </w:rPr>
      </w:pPr>
    </w:p>
    <w:p>
      <w:pPr>
        <w:pStyle w:val="9"/>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7.11</w:t>
      </w:r>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2"/>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2"/>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pPr>
        <w:pStyle w:val="9"/>
        <w:rPr>
          <w:rFonts w:hint="eastAsia"/>
        </w:rPr>
      </w:pPr>
    </w:p>
    <w:p>
      <w:pPr>
        <w:pStyle w:val="9"/>
        <w:rPr>
          <w:rFonts w:hint="eastAsia"/>
        </w:rPr>
      </w:pPr>
    </w:p>
    <w:p>
      <w:pPr>
        <w:pStyle w:val="9"/>
        <w:rPr>
          <w:rFonts w:hint="eastAsia"/>
        </w:rPr>
      </w:pPr>
    </w:p>
    <w:p>
      <w:pPr>
        <w:pStyle w:val="9"/>
        <w:rPr>
          <w:rFonts w:hint="eastAsia"/>
        </w:rPr>
      </w:pPr>
    </w:p>
    <w:p>
      <w:pPr>
        <w:keepNext w:val="0"/>
        <w:keepLines w:val="0"/>
        <w:pageBreakBefore w:val="0"/>
        <w:numPr>
          <w:ilvl w:val="0"/>
          <w:numId w:val="1"/>
        </w:numPr>
        <w:kinsoku/>
        <w:wordWrap/>
        <w:overflowPunct/>
        <w:topLinePunct w:val="0"/>
        <w:bidi w:val="0"/>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rPr>
        <w:t>项目编号</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FW202</w:t>
      </w: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39</w:t>
      </w:r>
      <w:r>
        <w:rPr>
          <w:rFonts w:hint="eastAsia" w:ascii="宋体" w:hAnsi="宋体" w:eastAsia="宋体" w:cs="宋体"/>
          <w:b/>
          <w:bCs/>
          <w:color w:val="000000"/>
          <w:kern w:val="0"/>
          <w:sz w:val="24"/>
          <w:szCs w:val="24"/>
          <w:highlight w:val="none"/>
        </w:rPr>
        <w:t>号</w:t>
      </w:r>
    </w:p>
    <w:p>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项目名称：</w:t>
      </w:r>
      <w:r>
        <w:rPr>
          <w:rFonts w:hint="eastAsia" w:ascii="宋体" w:hAnsi="宋体" w:eastAsia="宋体" w:cs="宋体"/>
          <w:b/>
          <w:bCs/>
          <w:color w:val="000000"/>
          <w:kern w:val="0"/>
          <w:sz w:val="24"/>
          <w:szCs w:val="24"/>
          <w:highlight w:val="none"/>
          <w:lang w:val="en-US" w:eastAsia="zh-CN"/>
        </w:rPr>
        <w:t>员工宿舍、大学生公寓室内设施采购项目</w:t>
      </w:r>
    </w:p>
    <w:p>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项目预算：</w:t>
      </w:r>
      <w:r>
        <w:rPr>
          <w:rFonts w:hint="eastAsia" w:ascii="宋体" w:hAnsi="宋体" w:eastAsia="宋体" w:cs="宋体"/>
          <w:b/>
          <w:bCs/>
          <w:color w:val="000000"/>
          <w:kern w:val="0"/>
          <w:sz w:val="24"/>
          <w:szCs w:val="24"/>
          <w:highlight w:val="none"/>
          <w:lang w:val="en-US" w:eastAsia="zh-CN"/>
        </w:rPr>
        <w:t>34</w:t>
      </w:r>
      <w:r>
        <w:rPr>
          <w:rFonts w:hint="eastAsia" w:ascii="宋体" w:hAnsi="宋体" w:eastAsia="宋体" w:cs="宋体"/>
          <w:b/>
          <w:bCs/>
          <w:color w:val="000000"/>
          <w:kern w:val="0"/>
          <w:sz w:val="24"/>
          <w:szCs w:val="24"/>
          <w:highlight w:val="none"/>
        </w:rPr>
        <w:t>万元人民币</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不含税</w:t>
      </w:r>
      <w:r>
        <w:rPr>
          <w:rFonts w:hint="eastAsia" w:ascii="宋体" w:hAnsi="宋体" w:eastAsia="宋体" w:cs="宋体"/>
          <w:b w:val="0"/>
          <w:bCs w:val="0"/>
          <w:color w:val="000000"/>
          <w:kern w:val="0"/>
          <w:sz w:val="24"/>
          <w:szCs w:val="24"/>
          <w:highlight w:val="none"/>
          <w:lang w:eastAsia="zh-CN"/>
        </w:rPr>
        <w:t>）</w:t>
      </w:r>
    </w:p>
    <w:p>
      <w:pPr>
        <w:keepNext w:val="0"/>
        <w:keepLines w:val="0"/>
        <w:pageBreakBefore w:val="0"/>
        <w:widowControl/>
        <w:numPr>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4.</w:t>
      </w:r>
      <w:r>
        <w:rPr>
          <w:rFonts w:hint="eastAsia" w:ascii="宋体" w:hAnsi="宋体" w:eastAsia="宋体" w:cs="宋体"/>
          <w:b w:val="0"/>
          <w:bCs w:val="0"/>
          <w:color w:val="000000"/>
          <w:kern w:val="0"/>
          <w:sz w:val="24"/>
          <w:szCs w:val="24"/>
          <w:highlight w:val="none"/>
        </w:rPr>
        <w:t>项目内容及要求：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（1）该项目为哈量公司员工宿舍（四层）和40栋大学生公寓室内更换设施（床、桌椅、衣柜）采购项目；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bCs/>
          <w:sz w:val="24"/>
          <w:szCs w:val="24"/>
          <w:lang w:val="en-US" w:eastAsia="zh-CN"/>
        </w:rPr>
        <w:t>员工宿舍（四层）采购明细</w:t>
      </w:r>
    </w:p>
    <w:tbl>
      <w:tblPr>
        <w:tblStyle w:val="15"/>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3"/>
        <w:gridCol w:w="6100"/>
        <w:gridCol w:w="716"/>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8" w:hRule="atLeast"/>
        </w:trPr>
        <w:tc>
          <w:tcPr>
            <w:tcW w:w="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物资 名称</w:t>
            </w:r>
          </w:p>
        </w:tc>
        <w:tc>
          <w:tcPr>
            <w:tcW w:w="6100" w:type="dxa"/>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尺寸及材质等参数要求</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采购 数量</w:t>
            </w:r>
          </w:p>
        </w:tc>
        <w:tc>
          <w:tcPr>
            <w:tcW w:w="8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17"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组合床</w:t>
            </w:r>
          </w:p>
        </w:tc>
        <w:tc>
          <w:tcPr>
            <w:tcW w:w="61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床身</w:t>
            </w:r>
            <w:r>
              <w:rPr>
                <w:rStyle w:val="35"/>
                <w:lang w:val="en-US" w:eastAsia="zh-CN" w:bidi="ar"/>
              </w:rPr>
              <w:t>：长2000mm*宽1000mm*高2050mm</w:t>
            </w:r>
            <w:r>
              <w:rPr>
                <w:rStyle w:val="35"/>
                <w:lang w:val="en-US" w:eastAsia="zh-CN" w:bidi="ar"/>
              </w:rPr>
              <w:br w:type="textWrapping"/>
            </w:r>
            <w:r>
              <w:rPr>
                <w:rStyle w:val="35"/>
                <w:b/>
                <w:bCs/>
                <w:lang w:val="en-US" w:eastAsia="zh-CN" w:bidi="ar"/>
              </w:rPr>
              <w:t>材质</w:t>
            </w:r>
            <w:r>
              <w:rPr>
                <w:rStyle w:val="35"/>
                <w:lang w:val="en-US" w:eastAsia="zh-CN" w:bidi="ar"/>
              </w:rPr>
              <w:t xml:space="preserve">：冷轧镀锌钢材（双面喷塑处理）铁床框架连接部分采用卡式锲入式锁扣结构连接，不采用螺丝连接（备注：立柱与长横梁和短横梁连接必须采用卡式锲入式锁扣结构连接。），每张床承重不小于400kg；所有钢材均采用国家标准钢，铁床部分焊接采用二氧化碳气体保护焊接，铁板表面经除油、去锈、磷化、静电喷粉、高温固化而成；外层采用聚脂环氧粉末喷塑，焊接表面波纹均匀，焊接处无夹渣、气孔、焊瘤、焊丝头、咬边、飞溅，并保证无脱焊、虚焊、假焊及焊穿等现象。 喷塑要求：采用优质环保产品环氧聚脂塑粉静电喷塑，颜色为亚光白色，喷塑外膜的表面光滑平整，色泽均匀，喷塑层无漏喷、起泡、模糊、划痕或碰伤等缺陷。 </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113套</w:t>
            </w: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浅蓝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8"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i w:val="0"/>
                <w:color w:val="000000"/>
                <w:sz w:val="20"/>
                <w:szCs w:val="20"/>
                <w:u w:val="none"/>
              </w:rPr>
            </w:pPr>
          </w:p>
        </w:tc>
        <w:tc>
          <w:tcPr>
            <w:tcW w:w="61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床立柱</w:t>
            </w:r>
            <w:r>
              <w:rPr>
                <w:rStyle w:val="35"/>
                <w:lang w:val="en-US" w:eastAsia="zh-CN" w:bidi="ar"/>
              </w:rPr>
              <w:t>：75mm*75mm*1.0mm左右厚滚压型材，并在型材开口两侧压死边防止伤手。</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浅蓝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3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i w:val="0"/>
                <w:color w:val="000000"/>
                <w:sz w:val="20"/>
                <w:szCs w:val="20"/>
                <w:u w:val="none"/>
              </w:rPr>
            </w:pPr>
          </w:p>
        </w:tc>
        <w:tc>
          <w:tcPr>
            <w:tcW w:w="61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床帮</w:t>
            </w:r>
            <w:r>
              <w:rPr>
                <w:rStyle w:val="35"/>
                <w:lang w:val="en-US" w:eastAsia="zh-CN" w:bidi="ar"/>
              </w:rPr>
              <w:t>：外径 90mm*35mm*1.0mm左右 厚滚压型材，外侧面有两条宽10mm深 2mm的通长加强筋，增加产品的稳定性和安全性能，下端为圆弧面处理，无直角、防撞，型材双面喷塑处理。</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浅蓝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8"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i w:val="0"/>
                <w:color w:val="000000"/>
                <w:sz w:val="20"/>
                <w:szCs w:val="20"/>
                <w:u w:val="none"/>
              </w:rPr>
            </w:pPr>
          </w:p>
        </w:tc>
        <w:tc>
          <w:tcPr>
            <w:tcW w:w="61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短床帮</w:t>
            </w:r>
            <w:r>
              <w:rPr>
                <w:rStyle w:val="35"/>
                <w:lang w:val="en-US" w:eastAsia="zh-CN" w:bidi="ar"/>
              </w:rPr>
              <w:t>：采用外径 90mm*35mm*1.0mm左右厚 滚压型材，外侧面有两条宽 10mm深 2mm 的通长加强筋，增加产品的稳定性和安全性，下端为圆弧面处理，无直角、防撞。型材双面喷塑处理。</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浅蓝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i w:val="0"/>
                <w:color w:val="000000"/>
                <w:sz w:val="20"/>
                <w:szCs w:val="20"/>
                <w:u w:val="none"/>
              </w:rPr>
            </w:pPr>
          </w:p>
        </w:tc>
        <w:tc>
          <w:tcPr>
            <w:tcW w:w="61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爬梯</w:t>
            </w:r>
            <w:r>
              <w:rPr>
                <w:rStyle w:val="35"/>
                <w:lang w:val="en-US" w:eastAsia="zh-CN" w:bidi="ar"/>
              </w:rPr>
              <w:t>：外径 90*35*1.0mm左右厚 滚压型材，外侧面有两条宽 10mm深 2mm 的通长加强筋，增加产品的稳定性和安全性，下端为圆弧面处理，无直角、防撞。型材双面喷塑处理。</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浅蓝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8"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i w:val="0"/>
                <w:color w:val="000000"/>
                <w:sz w:val="20"/>
                <w:szCs w:val="20"/>
                <w:u w:val="none"/>
              </w:rPr>
            </w:pPr>
          </w:p>
        </w:tc>
        <w:tc>
          <w:tcPr>
            <w:tcW w:w="61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床板</w:t>
            </w:r>
            <w:r>
              <w:rPr>
                <w:rStyle w:val="35"/>
                <w:lang w:val="en-US" w:eastAsia="zh-CN" w:bidi="ar"/>
              </w:rPr>
              <w:t>：长2000mm*宽1000mm的多层板（床板横撑20*30*0.8厚方管）。</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5"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i w:val="0"/>
                <w:color w:val="000000"/>
                <w:sz w:val="20"/>
                <w:szCs w:val="20"/>
                <w:u w:val="none"/>
              </w:rPr>
            </w:pPr>
          </w:p>
        </w:tc>
        <w:tc>
          <w:tcPr>
            <w:tcW w:w="61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床下衣柜</w:t>
            </w:r>
            <w:r>
              <w:rPr>
                <w:rStyle w:val="35"/>
                <w:lang w:val="en-US" w:eastAsia="zh-CN" w:bidi="ar"/>
              </w:rPr>
              <w:t>：高1680mm*宽800mm*深500mm 优质冷扎钢板 0.5mm。</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浅蓝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3"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i w:val="0"/>
                <w:color w:val="000000"/>
                <w:sz w:val="20"/>
                <w:szCs w:val="20"/>
                <w:u w:val="none"/>
              </w:rPr>
            </w:pPr>
          </w:p>
        </w:tc>
        <w:tc>
          <w:tcPr>
            <w:tcW w:w="61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床下桌子</w:t>
            </w:r>
            <w:r>
              <w:rPr>
                <w:rStyle w:val="35"/>
                <w:lang w:val="en-US" w:eastAsia="zh-CN" w:bidi="ar"/>
              </w:rPr>
              <w:t>：高760*宽1130深508mm 优质冷扎钢板 0.5mm 鸭舌桌面2.5cm厚。</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桌面白色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8"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i w:val="0"/>
                <w:color w:val="000000"/>
                <w:sz w:val="20"/>
                <w:szCs w:val="20"/>
                <w:u w:val="none"/>
              </w:rPr>
            </w:pPr>
          </w:p>
        </w:tc>
        <w:tc>
          <w:tcPr>
            <w:tcW w:w="610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床垫</w:t>
            </w:r>
            <w:r>
              <w:rPr>
                <w:rStyle w:val="35"/>
                <w:lang w:val="en-US" w:eastAsia="zh-CN" w:bidi="ar"/>
              </w:rPr>
              <w:t>： 50mm厚草棕床垫。</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0"/>
                <w:szCs w:val="20"/>
                <w:u w:val="none"/>
              </w:rPr>
            </w:pPr>
          </w:p>
        </w:tc>
        <w:tc>
          <w:tcPr>
            <w:tcW w:w="8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3" w:hRule="atLeast"/>
        </w:trPr>
        <w:tc>
          <w:tcPr>
            <w:tcW w:w="6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椅子</w:t>
            </w:r>
          </w:p>
        </w:tc>
        <w:tc>
          <w:tcPr>
            <w:tcW w:w="61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20mm*40mm椭圆管（冷轧钢管）、1.0厚，椅子塑料部分为ABS环保全新塑料，椅面为网布（内填海绵），椅子尺寸为（参考尺寸）：高870mm*宽430mm、椅面高度450mm。</w:t>
            </w:r>
          </w:p>
        </w:tc>
        <w:tc>
          <w:tcPr>
            <w:tcW w:w="71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113把</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浅蓝或浅色系</w:t>
            </w:r>
          </w:p>
        </w:tc>
      </w:tr>
    </w:tbl>
    <w:p>
      <w:pPr>
        <w:pStyle w:val="2"/>
        <w:pageBreakBefore w:val="0"/>
        <w:widowControl w:val="0"/>
        <w:kinsoku/>
        <w:wordWrap/>
        <w:overflowPunct/>
        <w:topLinePunct w:val="0"/>
        <w:autoSpaceDE/>
        <w:autoSpaceDN/>
        <w:bidi w:val="0"/>
        <w:adjustRightInd/>
        <w:snapToGrid/>
        <w:spacing w:before="0" w:after="0" w:line="50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Theme="minorEastAsia" w:hAnsiTheme="minorEastAsia" w:eastAsiaTheme="minorEastAsia" w:cstheme="minorEastAsia"/>
          <w:b/>
          <w:bCs/>
          <w:sz w:val="24"/>
          <w:szCs w:val="24"/>
          <w:lang w:val="en-US" w:eastAsia="zh-CN"/>
        </w:rPr>
        <w:t>40栋大学生公寓</w:t>
      </w:r>
    </w:p>
    <w:tbl>
      <w:tblPr>
        <w:tblStyle w:val="15"/>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3"/>
        <w:gridCol w:w="5622"/>
        <w:gridCol w:w="711"/>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物资名称</w:t>
            </w:r>
          </w:p>
        </w:tc>
        <w:tc>
          <w:tcPr>
            <w:tcW w:w="5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尺寸及材质等参数要求</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采购 数量</w:t>
            </w: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93" w:hRule="atLeast"/>
        </w:trPr>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实木床</w:t>
            </w:r>
          </w:p>
        </w:tc>
        <w:tc>
          <w:tcPr>
            <w:tcW w:w="5622"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床身</w:t>
            </w:r>
            <w:r>
              <w:rPr>
                <w:rFonts w:hint="eastAsia" w:ascii="仿宋" w:hAnsi="仿宋" w:eastAsia="仿宋" w:cs="仿宋"/>
                <w:i w:val="0"/>
                <w:color w:val="000000"/>
                <w:kern w:val="0"/>
                <w:sz w:val="20"/>
                <w:szCs w:val="20"/>
                <w:u w:val="none"/>
                <w:lang w:val="en-US" w:eastAsia="zh-CN" w:bidi="ar"/>
              </w:rPr>
              <w:t>：长2120mm*宽1200mm*高450mm(床头高1000mm)，主要材质：芬兰松木，油漆：pvc覆膜吸塑；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床垫</w:t>
            </w:r>
            <w:r>
              <w:rPr>
                <w:rFonts w:hint="eastAsia" w:ascii="仿宋" w:hAnsi="仿宋" w:eastAsia="仿宋" w:cs="仿宋"/>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100mm环保椰棕床垫（无胶水无甲醛）。</w:t>
            </w:r>
          </w:p>
        </w:tc>
        <w:tc>
          <w:tcPr>
            <w:tcW w:w="71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58套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胡桃色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7" w:hRule="atLeast"/>
        </w:trPr>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书桌和椅子</w:t>
            </w:r>
          </w:p>
        </w:tc>
        <w:tc>
          <w:tcPr>
            <w:tcW w:w="5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书桌</w:t>
            </w:r>
            <w:r>
              <w:rPr>
                <w:rFonts w:hint="eastAsia" w:ascii="仿宋" w:hAnsi="仿宋" w:eastAsia="仿宋" w:cs="仿宋"/>
                <w:i w:val="0"/>
                <w:color w:val="000000"/>
                <w:kern w:val="0"/>
                <w:sz w:val="20"/>
                <w:szCs w:val="20"/>
                <w:u w:val="none"/>
                <w:lang w:val="en-US" w:eastAsia="zh-CN" w:bidi="ar"/>
              </w:rPr>
              <w:t xml:space="preserve">：尺寸为长1200mm*宽600mm*高750mm,桌面是松木芯，桌子抽屉底板是实木多层板的，剩余部分为橡胶木实木,油漆为水性环保净味漆;                                                    </w:t>
            </w:r>
            <w:r>
              <w:rPr>
                <w:rFonts w:hint="eastAsia" w:ascii="仿宋" w:hAnsi="仿宋" w:eastAsia="仿宋" w:cs="仿宋"/>
                <w:b/>
                <w:bCs/>
                <w:i w:val="0"/>
                <w:color w:val="000000"/>
                <w:kern w:val="0"/>
                <w:sz w:val="20"/>
                <w:szCs w:val="20"/>
                <w:u w:val="none"/>
                <w:lang w:val="en-US" w:eastAsia="zh-CN" w:bidi="ar"/>
              </w:rPr>
              <w:t>椅子</w:t>
            </w:r>
            <w:r>
              <w:rPr>
                <w:rFonts w:hint="eastAsia" w:ascii="仿宋" w:hAnsi="仿宋" w:eastAsia="仿宋" w:cs="仿宋"/>
                <w:i w:val="0"/>
                <w:color w:val="000000"/>
                <w:kern w:val="0"/>
                <w:sz w:val="20"/>
                <w:szCs w:val="20"/>
                <w:u w:val="none"/>
                <w:lang w:val="en-US" w:eastAsia="zh-CN" w:bidi="ar"/>
              </w:rPr>
              <w:t>（牛角椅）：尺寸为570mm*宽500mm*高740mm，整体框架为橡胶木，靠背和坐垫是实木多层板加皮革或织物软包，油漆为水性环保净味漆。</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58套</w:t>
            </w: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胡桃色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55" w:hRule="atLeast"/>
        </w:trPr>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推拉门衣柜</w:t>
            </w:r>
          </w:p>
        </w:tc>
        <w:tc>
          <w:tcPr>
            <w:tcW w:w="5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尺寸</w:t>
            </w:r>
            <w:r>
              <w:rPr>
                <w:rFonts w:hint="eastAsia" w:ascii="仿宋" w:hAnsi="仿宋" w:eastAsia="仿宋" w:cs="仿宋"/>
                <w:i w:val="0"/>
                <w:color w:val="000000"/>
                <w:kern w:val="0"/>
                <w:sz w:val="20"/>
                <w:szCs w:val="20"/>
                <w:u w:val="none"/>
                <w:lang w:val="en-US" w:eastAsia="zh-CN" w:bidi="ar"/>
              </w:rPr>
              <w:t>:长1200mm*宽500mm*高2000mm;</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材质</w:t>
            </w:r>
            <w:r>
              <w:rPr>
                <w:rFonts w:hint="eastAsia" w:ascii="仿宋" w:hAnsi="仿宋" w:eastAsia="仿宋" w:cs="仿宋"/>
                <w:i w:val="0"/>
                <w:color w:val="000000"/>
                <w:kern w:val="0"/>
                <w:sz w:val="20"/>
                <w:szCs w:val="20"/>
                <w:u w:val="none"/>
                <w:lang w:val="en-US" w:eastAsia="zh-CN" w:bidi="ar"/>
              </w:rPr>
              <w:t>：层板 和柜门均为14mm左右EO级免漆实木生态板 ，背板是4mm左右厚度的环保纤维板衣柜带固定挂杆，带格子架。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58件</w:t>
            </w: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瓷白色或白色（深色腰线）</w:t>
            </w:r>
          </w:p>
        </w:tc>
      </w:tr>
    </w:tbl>
    <w:p>
      <w:pPr>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（4）负责免费送货上门并安装；</w:t>
      </w:r>
    </w:p>
    <w:p>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（5）要求付款发票为</w:t>
      </w:r>
      <w:r>
        <w:rPr>
          <w:rFonts w:hint="eastAsia" w:ascii="宋体" w:hAnsi="宋体" w:eastAsia="宋体" w:cs="宋体"/>
          <w:b/>
          <w:bCs/>
          <w:sz w:val="24"/>
          <w:szCs w:val="24"/>
          <w:lang w:val="en-US" w:eastAsia="zh-CN"/>
        </w:rPr>
        <w:t>普票</w:t>
      </w:r>
      <w:r>
        <w:rPr>
          <w:rFonts w:hint="eastAsia" w:ascii="宋体" w:hAnsi="宋体" w:eastAsia="宋体" w:cs="宋体"/>
          <w:sz w:val="24"/>
          <w:szCs w:val="24"/>
          <w:lang w:val="en-US" w:eastAsia="zh-CN"/>
        </w:rPr>
        <w:t>；</w:t>
      </w:r>
    </w:p>
    <w:p>
      <w:pPr>
        <w:pStyle w:val="2"/>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（6）交付期限：合同签字生效后20个月内交付。</w:t>
      </w:r>
    </w:p>
    <w:p>
      <w:pPr>
        <w:ind w:right="390"/>
        <w:rPr>
          <w:rFonts w:hint="eastAsia" w:ascii="宋体" w:hAnsi="宋体" w:eastAsia="宋体" w:cs="宋体"/>
          <w:sz w:val="24"/>
          <w:szCs w:val="24"/>
          <w:lang w:val="en-US" w:eastAsia="zh-CN"/>
        </w:rPr>
      </w:pPr>
    </w:p>
    <w:p>
      <w:pPr>
        <w:pStyle w:val="4"/>
        <w:numPr>
          <w:ilvl w:val="0"/>
          <w:numId w:val="0"/>
        </w:numPr>
      </w:pPr>
    </w:p>
    <w:p>
      <w:pPr>
        <w:pStyle w:val="2"/>
        <w:rPr>
          <w:rFonts w:hint="eastAsia" w:cs="微软雅黑" w:asciiTheme="minorEastAsia" w:hAnsiTheme="minorEastAsia" w:eastAsiaTheme="minorEastAsia"/>
          <w:b/>
          <w:spacing w:val="2"/>
          <w:w w:val="99"/>
          <w:kern w:val="0"/>
          <w:position w:val="-4"/>
          <w:sz w:val="28"/>
          <w:szCs w:val="28"/>
        </w:rPr>
      </w:pPr>
    </w:p>
    <w:p>
      <w:pPr>
        <w:pStyle w:val="2"/>
        <w:rPr>
          <w:rFonts w:hint="eastAsia" w:cs="微软雅黑" w:asciiTheme="minorEastAsia" w:hAnsiTheme="minorEastAsia" w:eastAsiaTheme="minorEastAsia"/>
          <w:b/>
          <w:spacing w:val="2"/>
          <w:w w:val="99"/>
          <w:kern w:val="0"/>
          <w:position w:val="-4"/>
          <w:sz w:val="28"/>
          <w:szCs w:val="28"/>
        </w:rPr>
      </w:pPr>
    </w:p>
    <w:p>
      <w:pPr>
        <w:pStyle w:val="2"/>
        <w:rPr>
          <w:rFonts w:hint="eastAsia" w:cs="微软雅黑" w:asciiTheme="minorEastAsia" w:hAnsiTheme="minorEastAsia" w:eastAsiaTheme="minorEastAsia"/>
          <w:b/>
          <w:spacing w:val="2"/>
          <w:w w:val="99"/>
          <w:kern w:val="0"/>
          <w:position w:val="-4"/>
          <w:sz w:val="28"/>
          <w:szCs w:val="28"/>
        </w:rPr>
      </w:pPr>
    </w:p>
    <w:p>
      <w:pPr>
        <w:rPr>
          <w:rFonts w:hint="eastAsia" w:cs="微软雅黑" w:asciiTheme="minorEastAsia" w:hAnsiTheme="minorEastAsia" w:eastAsiaTheme="minorEastAsia"/>
          <w:b/>
          <w:spacing w:val="2"/>
          <w:w w:val="99"/>
          <w:kern w:val="0"/>
          <w:position w:val="-4"/>
          <w:sz w:val="28"/>
          <w:szCs w:val="28"/>
        </w:rPr>
      </w:pPr>
    </w:p>
    <w:p>
      <w:pPr>
        <w:pStyle w:val="2"/>
        <w:rPr>
          <w:rFonts w:hint="eastAsia"/>
        </w:rPr>
      </w:pPr>
    </w:p>
    <w:p>
      <w:pPr>
        <w:pStyle w:val="2"/>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四．响应文件模板（附件1-8）</w:t>
      </w:r>
    </w:p>
    <w:p>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autoSpaceDE w:val="0"/>
        <w:autoSpaceDN w:val="0"/>
        <w:adjustRightInd w:val="0"/>
        <w:spacing w:line="200" w:lineRule="exact"/>
        <w:jc w:val="left"/>
        <w:rPr>
          <w:rFonts w:hint="eastAsia" w:ascii="宋体" w:hAnsi="宋体" w:eastAsia="宋体" w:cs="宋体"/>
          <w:kern w:val="0"/>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hint="eastAsia" w:ascii="宋体" w:hAnsi="宋体" w:eastAsia="宋体" w:cs="宋体"/>
          <w:b/>
          <w:caps/>
          <w:kern w:val="0"/>
          <w:sz w:val="24"/>
          <w:szCs w:val="24"/>
        </w:rPr>
      </w:pPr>
    </w:p>
    <w:p>
      <w:pPr>
        <w:widowControl/>
        <w:jc w:val="left"/>
        <w:rPr>
          <w:rFonts w:hint="eastAsia" w:ascii="宋体" w:hAnsi="宋体" w:eastAsia="宋体" w:cs="宋体"/>
          <w:b/>
          <w:caps/>
          <w:kern w:val="0"/>
          <w:sz w:val="24"/>
          <w:szCs w:val="24"/>
        </w:rPr>
      </w:pPr>
    </w:p>
    <w:p>
      <w:pPr>
        <w:widowControl/>
        <w:jc w:val="left"/>
        <w:rPr>
          <w:rFonts w:cs="Times New Roman" w:asciiTheme="minorEastAsia" w:hAnsiTheme="minorEastAsia"/>
          <w:b/>
          <w:caps/>
          <w:kern w:val="0"/>
          <w:sz w:val="24"/>
          <w:szCs w:val="24"/>
        </w:rPr>
      </w:pPr>
    </w:p>
    <w:p>
      <w:pPr>
        <w:widowControl/>
        <w:jc w:val="left"/>
        <w:rPr>
          <w:rFonts w:cs="Times New Roman" w:asciiTheme="minorEastAsia" w:hAnsiTheme="minorEastAsia"/>
          <w:b/>
          <w:caps/>
          <w:kern w:val="0"/>
          <w:sz w:val="24"/>
          <w:szCs w:val="24"/>
        </w:rPr>
      </w:pPr>
    </w:p>
    <w:p>
      <w:pPr>
        <w:widowControl/>
        <w:jc w:val="left"/>
        <w:rPr>
          <w:rFonts w:cs="Times New Roman" w:asciiTheme="minorEastAsia" w:hAnsiTheme="minorEastAsia"/>
          <w:b/>
          <w:caps/>
          <w:kern w:val="0"/>
          <w:sz w:val="24"/>
          <w:szCs w:val="24"/>
        </w:rPr>
      </w:pPr>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0"/>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包括总报价和分项报价，并注明税率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1"/>
    </w:p>
    <w:p>
      <w:pPr>
        <w:pStyle w:val="9"/>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9"/>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93AE"/>
    <w:multiLevelType w:val="singleLevel"/>
    <w:tmpl w:val="4E1C93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5F06FA8"/>
    <w:rsid w:val="0667543C"/>
    <w:rsid w:val="0CD16F7A"/>
    <w:rsid w:val="10C76755"/>
    <w:rsid w:val="140E2149"/>
    <w:rsid w:val="18463B3B"/>
    <w:rsid w:val="203C46E1"/>
    <w:rsid w:val="22616928"/>
    <w:rsid w:val="22A540C7"/>
    <w:rsid w:val="2B155F73"/>
    <w:rsid w:val="2C7546FD"/>
    <w:rsid w:val="32E5312C"/>
    <w:rsid w:val="3431715F"/>
    <w:rsid w:val="38292370"/>
    <w:rsid w:val="39336CC1"/>
    <w:rsid w:val="3B1344D0"/>
    <w:rsid w:val="3BB621F7"/>
    <w:rsid w:val="42AD6C5D"/>
    <w:rsid w:val="43734829"/>
    <w:rsid w:val="44231A85"/>
    <w:rsid w:val="4A906A90"/>
    <w:rsid w:val="4C78235F"/>
    <w:rsid w:val="53855B7B"/>
    <w:rsid w:val="580F5BC6"/>
    <w:rsid w:val="6D51753D"/>
    <w:rsid w:val="6E265769"/>
    <w:rsid w:val="7235622E"/>
    <w:rsid w:val="776568DB"/>
    <w:rsid w:val="7D4F6359"/>
    <w:rsid w:val="7FE37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5">
    <w:name w:val="Body Text Indent"/>
    <w:basedOn w:val="1"/>
    <w:qFormat/>
    <w:uiPriority w:val="99"/>
    <w:pPr>
      <w:ind w:left="1260"/>
    </w:pPr>
  </w:style>
  <w:style w:type="paragraph" w:styleId="6">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next w:val="14"/>
    <w:unhideWhenUsed/>
    <w:qFormat/>
    <w:uiPriority w:val="0"/>
    <w:pPr>
      <w:spacing w:before="0" w:after="120" w:line="240" w:lineRule="auto"/>
      <w:ind w:firstLine="420" w:firstLineChars="100"/>
    </w:pPr>
  </w:style>
  <w:style w:type="paragraph" w:styleId="14">
    <w:name w:val="Body Text First Indent 2"/>
    <w:basedOn w:val="5"/>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日期 Char"/>
    <w:basedOn w:val="17"/>
    <w:link w:val="7"/>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8"/>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font11"/>
    <w:basedOn w:val="17"/>
    <w:qFormat/>
    <w:uiPriority w:val="0"/>
    <w:rPr>
      <w:rFonts w:hint="default" w:ascii="Calibri" w:hAnsi="Calibri" w:cs="Calibri"/>
      <w:b/>
      <w:color w:val="000000"/>
      <w:sz w:val="22"/>
      <w:szCs w:val="22"/>
      <w:u w:val="none"/>
    </w:rPr>
  </w:style>
  <w:style w:type="character" w:customStyle="1" w:styleId="34">
    <w:name w:val="font21"/>
    <w:basedOn w:val="17"/>
    <w:qFormat/>
    <w:uiPriority w:val="0"/>
    <w:rPr>
      <w:rFonts w:hint="eastAsia" w:ascii="宋体" w:hAnsi="宋体" w:eastAsia="宋体" w:cs="宋体"/>
      <w:b/>
      <w:color w:val="000000"/>
      <w:sz w:val="22"/>
      <w:szCs w:val="22"/>
      <w:u w:val="none"/>
    </w:rPr>
  </w:style>
  <w:style w:type="character" w:customStyle="1" w:styleId="35">
    <w:name w:val="font61"/>
    <w:basedOn w:val="17"/>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8</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2024-07-11T01:53:24Z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