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w:t>
      </w:r>
      <w:r>
        <w:rPr>
          <w:rFonts w:hint="eastAsia" w:asciiTheme="majorEastAsia" w:hAnsiTheme="majorEastAsia" w:eastAsiaTheme="majorEastAsia" w:cstheme="majorEastAsia"/>
          <w:b/>
          <w:kern w:val="0"/>
          <w:sz w:val="36"/>
          <w:szCs w:val="36"/>
          <w:lang w:val="en-US" w:eastAsia="zh-CN"/>
        </w:rPr>
        <w:t>哈量</w:t>
      </w:r>
      <w:r>
        <w:rPr>
          <w:rFonts w:hint="eastAsia" w:asciiTheme="majorEastAsia" w:hAnsiTheme="majorEastAsia" w:eastAsiaTheme="majorEastAsia" w:cstheme="majorEastAsia"/>
          <w:b/>
          <w:kern w:val="0"/>
          <w:sz w:val="36"/>
          <w:szCs w:val="36"/>
        </w:rPr>
        <w:t>公司</w:t>
      </w:r>
    </w:p>
    <w:p w14:paraId="11FC601E">
      <w:pPr>
        <w:shd w:val="clear"/>
        <w:rPr>
          <w:rFonts w:cs="Times New Roman" w:asciiTheme="minorEastAsia" w:hAnsiTheme="minorEastAsia"/>
          <w:b/>
          <w:kern w:val="0"/>
          <w:sz w:val="36"/>
          <w:szCs w:val="36"/>
          <w:u w:val="single"/>
        </w:rPr>
      </w:pPr>
    </w:p>
    <w:p w14:paraId="515F59DC">
      <w:pPr>
        <w:shd w:val="clear"/>
        <w:jc w:val="center"/>
        <w:rPr>
          <w:rFonts w:cs="Times New Roman" w:asciiTheme="minorEastAsia" w:hAnsiTheme="minorEastAsia"/>
          <w:b/>
          <w:kern w:val="0"/>
          <w:sz w:val="36"/>
          <w:szCs w:val="36"/>
          <w:u w:val="single"/>
        </w:rPr>
      </w:pP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委托售电公司代理电力交易采购项目采购</w:t>
      </w:r>
      <w:r>
        <w:rPr>
          <w:rFonts w:hint="eastAsia" w:asciiTheme="majorEastAsia" w:hAnsiTheme="majorEastAsia" w:eastAsiaTheme="majorEastAsia" w:cstheme="majorEastAsia"/>
          <w:b/>
          <w:color w:val="000000"/>
          <w:kern w:val="0"/>
          <w:sz w:val="36"/>
          <w:szCs w:val="36"/>
        </w:rPr>
        <w:t>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bookmarkStart w:id="3" w:name="_GoBack"/>
      <w:bookmarkEnd w:id="3"/>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5</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12.4</w:t>
      </w:r>
    </w:p>
    <w:p w14:paraId="2FD5A1FD">
      <w:pPr>
        <w:pStyle w:val="4"/>
        <w:shd w:val="clear"/>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4"/>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（5）国家有关法律法规禁止的情形。</w:t>
      </w:r>
    </w:p>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lang w:eastAsia="zh-CN"/>
        </w:rPr>
        <w:t>二、</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项目编号：FW2025-</w:t>
      </w:r>
      <w:r>
        <w:rPr>
          <w:rFonts w:hint="eastAsia" w:ascii="宋体" w:hAnsi="宋体" w:eastAsia="宋体" w:cs="宋体"/>
          <w:b w:val="0"/>
          <w:bCs w:val="0"/>
          <w:color w:val="auto"/>
          <w:kern w:val="0"/>
          <w:sz w:val="24"/>
          <w:szCs w:val="24"/>
          <w:highlight w:val="none"/>
          <w:lang w:val="en-US" w:eastAsia="zh-CN"/>
        </w:rPr>
        <w:t>76</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哈量公司委托售电公司代理电力交易项目</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采购人：通用技术集团哈尔滨量具刃具有限责任公司</w:t>
      </w:r>
    </w:p>
    <w:p w14:paraId="225B8BDA">
      <w:pPr>
        <w:pStyle w:val="2"/>
        <w:keepNext w:val="0"/>
        <w:keepLines w:val="0"/>
        <w:pageBreakBefore w:val="0"/>
        <w:kinsoku/>
        <w:wordWrap/>
        <w:overflowPunct/>
        <w:topLinePunct w:val="0"/>
        <w:bidi w:val="0"/>
        <w:adjustRightInd/>
        <w:spacing w:line="500" w:lineRule="exact"/>
        <w:textAlignment w:val="auto"/>
        <w:rPr>
          <w:rFonts w:hint="default" w:eastAsia="宋体"/>
          <w:lang w:val="en-US" w:eastAsia="zh-CN"/>
        </w:rPr>
      </w:pPr>
      <w:r>
        <w:rPr>
          <w:rFonts w:hint="eastAsia" w:ascii="宋体" w:hAnsi="宋体" w:eastAsia="宋体" w:cs="宋体"/>
          <w:b w:val="0"/>
          <w:bCs w:val="0"/>
          <w:color w:val="auto"/>
          <w:kern w:val="0"/>
          <w:sz w:val="24"/>
          <w:szCs w:val="24"/>
          <w:highlight w:val="none"/>
          <w:lang w:val="en-US" w:eastAsia="zh-CN"/>
        </w:rPr>
        <w:t>4.采购方式：询比采购</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default"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w:t>
      </w:r>
      <w:r>
        <w:rPr>
          <w:rFonts w:hint="eastAsia" w:ascii="宋体" w:hAnsi="宋体" w:eastAsia="宋体" w:cs="宋体"/>
          <w:b w:val="0"/>
          <w:bCs w:val="0"/>
          <w:color w:val="auto"/>
          <w:kern w:val="0"/>
          <w:sz w:val="24"/>
          <w:szCs w:val="24"/>
          <w:highlight w:val="none"/>
          <w:lang w:val="en-US" w:eastAsia="zh-CN"/>
        </w:rPr>
        <w:t>最低价法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p w14:paraId="5508F5FF">
      <w:pPr>
        <w:keepNext w:val="0"/>
        <w:keepLines w:val="0"/>
        <w:pageBreakBefore w:val="0"/>
        <w:widowControl w:val="0"/>
        <w:numPr>
          <w:ilvl w:val="0"/>
          <w:numId w:val="0"/>
        </w:numPr>
        <w:shd w:val="clear"/>
        <w:tabs>
          <w:tab w:val="left" w:pos="1706"/>
        </w:tabs>
        <w:kinsoku/>
        <w:wordWrap/>
        <w:overflowPunct/>
        <w:topLinePunct w:val="0"/>
        <w:autoSpaceDE w:val="0"/>
        <w:autoSpaceDN w:val="0"/>
        <w:bidi w:val="0"/>
        <w:adjustRightInd/>
        <w:snapToGrid/>
        <w:spacing w:before="0" w:after="0" w:line="500" w:lineRule="exact"/>
        <w:ind w:left="0" w:right="0" w:rightChars="0" w:firstLine="0"/>
        <w:jc w:val="both"/>
        <w:textAlignment w:val="auto"/>
        <w:outlineLvl w:val="9"/>
        <w:rPr>
          <w:rFonts w:hint="eastAsia"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val="en-US" w:eastAsia="zh-CN"/>
        </w:rPr>
        <w:t>6.1</w:t>
      </w:r>
      <w:r>
        <w:rPr>
          <w:rFonts w:hint="eastAsia" w:ascii="宋体" w:hAnsi="宋体" w:eastAsia="宋体" w:cs="宋体"/>
          <w:b w:val="0"/>
          <w:bCs w:val="0"/>
          <w:color w:val="auto"/>
          <w:spacing w:val="-3"/>
          <w:sz w:val="24"/>
          <w:szCs w:val="24"/>
          <w:lang w:eastAsia="zh-CN"/>
        </w:rPr>
        <w:t>项目内容</w:t>
      </w:r>
    </w:p>
    <w:p w14:paraId="723CAA46">
      <w:pPr>
        <w:keepNext w:val="0"/>
        <w:keepLines w:val="0"/>
        <w:pageBreakBefore w:val="0"/>
        <w:widowControl/>
        <w:shd w:val="clear" w:color="auto"/>
        <w:kinsoku/>
        <w:wordWrap/>
        <w:overflowPunct/>
        <w:topLinePunct w:val="0"/>
        <w:autoSpaceDE/>
        <w:autoSpaceDN/>
        <w:bidi w:val="0"/>
        <w:adjustRightInd/>
        <w:snapToGrid/>
        <w:spacing w:line="500" w:lineRule="exact"/>
        <w:ind w:firstLine="468" w:firstLineChars="200"/>
        <w:jc w:val="both"/>
        <w:textAlignment w:val="auto"/>
        <w:outlineLvl w:val="0"/>
        <w:rPr>
          <w:rFonts w:hint="eastAsia"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3"/>
          <w:sz w:val="24"/>
          <w:szCs w:val="24"/>
          <w:lang w:eastAsia="zh-CN"/>
        </w:rPr>
        <w:t>通用技术集团哈尔滨量具刃具有限责任公司委托售电公司参与2026年电力直接交易代理。</w:t>
      </w:r>
    </w:p>
    <w:p w14:paraId="3B509599">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6.2资质及报价要求</w:t>
      </w:r>
    </w:p>
    <w:p w14:paraId="143F57AC">
      <w:pPr>
        <w:keepNext w:val="0"/>
        <w:keepLines w:val="0"/>
        <w:pageBreakBefore w:val="0"/>
        <w:widowControl/>
        <w:shd w:val="clear" w:color="auto"/>
        <w:kinsoku/>
        <w:wordWrap/>
        <w:overflowPunct/>
        <w:topLinePunct w:val="0"/>
        <w:autoSpaceDE/>
        <w:autoSpaceDN/>
        <w:bidi w:val="0"/>
        <w:adjustRightInd/>
        <w:snapToGrid/>
        <w:spacing w:line="500" w:lineRule="exact"/>
        <w:ind w:firstLine="482" w:firstLineChars="200"/>
        <w:jc w:val="both"/>
        <w:textAlignment w:val="auto"/>
        <w:outlineLvl w:val="0"/>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资质要求：</w:t>
      </w:r>
    </w:p>
    <w:p w14:paraId="2FAB890E">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（1）参与谈判的售电公司需提供营业执照、保函、黑龙江电力交易中心授权交易复印件各一份；</w:t>
      </w:r>
    </w:p>
    <w:p w14:paraId="5306188A">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（2）响应供应商必须获得黑龙江电力交易中心准许入市且经营规范有良好信誉的售电公司，以黑龙江电力交易中心官网为准；</w:t>
      </w:r>
    </w:p>
    <w:p w14:paraId="7D7C292A">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（3）响应供应商的财务经营状况良好，提供近年度最新有效的审计报告；</w:t>
      </w:r>
    </w:p>
    <w:p w14:paraId="72C748A5">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（4）本项目截止之日前响应供应商有良好的信用情况，未发生过任何法律诉讼情况。（需提供企业查无法律诉讼页面）</w:t>
      </w:r>
    </w:p>
    <w:p w14:paraId="1AB7392E">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（5）响应供应商的年度可售电量为不限量。</w:t>
      </w:r>
    </w:p>
    <w:p w14:paraId="7E206734">
      <w:pPr>
        <w:keepNext w:val="0"/>
        <w:keepLines w:val="0"/>
        <w:pageBreakBefore w:val="0"/>
        <w:widowControl/>
        <w:shd w:val="clear" w:color="auto"/>
        <w:kinsoku/>
        <w:wordWrap/>
        <w:overflowPunct/>
        <w:topLinePunct w:val="0"/>
        <w:autoSpaceDE/>
        <w:autoSpaceDN/>
        <w:bidi w:val="0"/>
        <w:adjustRightInd/>
        <w:snapToGrid/>
        <w:spacing w:line="500" w:lineRule="exact"/>
        <w:ind w:firstLine="482" w:firstLineChars="200"/>
        <w:jc w:val="both"/>
        <w:textAlignment w:val="auto"/>
        <w:outlineLvl w:val="0"/>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报价及要求：</w:t>
      </w:r>
    </w:p>
    <w:p w14:paraId="1AD81737">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（1）竞标售电公司100%承担代理方的用电量偏差考核；</w:t>
      </w:r>
    </w:p>
    <w:p w14:paraId="3E9C3173">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（2）2026年委托售电公司采用固定价格方式进行电力交易，电量上网电价固定价格不得高于0.3600元/千瓦时（参照2025年哈量直购电上网电价平均价），保留小数点后4位，投标方报价的固定价格低者中标。</w:t>
      </w:r>
    </w:p>
    <w:p w14:paraId="458AA728">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（3）投标方报价最低者中标后需与我公司签订委托售电补充协议，在中标固定价格的基础上，与国网黑龙江省电力有限公司公布的电量上网电价比较：</w:t>
      </w:r>
    </w:p>
    <w:p w14:paraId="71D1CBC3">
      <w:pPr>
        <w:keepNext w:val="0"/>
        <w:keepLines w:val="0"/>
        <w:pageBreakBefore w:val="0"/>
        <w:widowControl/>
        <w:shd w:val="clear" w:color="auto"/>
        <w:kinsoku/>
        <w:wordWrap/>
        <w:overflowPunct/>
        <w:topLinePunct w:val="0"/>
        <w:autoSpaceDE/>
        <w:autoSpaceDN/>
        <w:bidi w:val="0"/>
        <w:adjustRightInd/>
        <w:snapToGrid/>
        <w:spacing w:line="500" w:lineRule="exact"/>
        <w:ind w:firstLine="480" w:firstLineChars="200"/>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如果中标价格高于国网公司公布的上网电价，则中标公司需按实际电量与正价差（中标价格减去电网公司价格），计算差额，将差额返还我公司指定账户；</w:t>
      </w:r>
    </w:p>
    <w:p w14:paraId="6FB49EDC">
      <w:pPr>
        <w:keepNext w:val="0"/>
        <w:keepLines w:val="0"/>
        <w:pageBreakBefore w:val="0"/>
        <w:widowControl/>
        <w:shd w:val="clear" w:color="auto"/>
        <w:kinsoku/>
        <w:wordWrap/>
        <w:overflowPunct/>
        <w:topLinePunct w:val="0"/>
        <w:autoSpaceDE/>
        <w:autoSpaceDN/>
        <w:bidi w:val="0"/>
        <w:adjustRightInd/>
        <w:snapToGrid/>
        <w:spacing w:line="500" w:lineRule="exact"/>
        <w:ind w:firstLine="480" w:firstLineChars="200"/>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如果中标价格低于国网公司公布的上网电价，则中标公司需按实际电量与负价差（中标价格减去电网公司价格），计算差额，此时差额为我公司的节省电费利润；</w:t>
      </w:r>
    </w:p>
    <w:p w14:paraId="7768B0D1">
      <w:pPr>
        <w:keepNext w:val="0"/>
        <w:keepLines w:val="0"/>
        <w:pageBreakBefore w:val="0"/>
        <w:widowControl/>
        <w:shd w:val="clear" w:color="auto"/>
        <w:kinsoku/>
        <w:wordWrap/>
        <w:overflowPunct/>
        <w:topLinePunct w:val="0"/>
        <w:autoSpaceDE/>
        <w:autoSpaceDN/>
        <w:bidi w:val="0"/>
        <w:adjustRightInd/>
        <w:snapToGrid/>
        <w:spacing w:line="500" w:lineRule="exact"/>
        <w:ind w:firstLine="480" w:firstLineChars="200"/>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按月比较、按年结算、结算时，若全年的正价差产生的差额小于负价差带来的节省电费利润，则中标公司无需返还。若全年的正价差产生的差额大于负价差带来的节省电费利润，按年结算时将差额返还我公司指定账户。（中标公司需返还金额为：正价差产生的差额减去负价差带来的节省电费利润）</w:t>
      </w:r>
    </w:p>
    <w:p w14:paraId="50C6C16D">
      <w:pPr>
        <w:pStyle w:val="2"/>
        <w:rPr>
          <w:rFonts w:hint="eastAsia"/>
          <w:lang w:eastAsia="zh-CN"/>
        </w:rPr>
      </w:pP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55C5BBE7">
      <w:pPr>
        <w:shd w:val="clear"/>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3.相关资质证明文件</w:t>
      </w:r>
      <w:r>
        <w:rPr>
          <w:rFonts w:hint="eastAsia" w:ascii="宋体" w:hAnsi="宋体" w:eastAsia="宋体" w:cs="宋体"/>
          <w:sz w:val="24"/>
          <w:szCs w:val="24"/>
          <w:lang w:eastAsia="zh-CN"/>
        </w:rPr>
        <w:t>；</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8.其它响应资料。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06A8055F">
      <w:pPr>
        <w:widowControl/>
        <w:shd w:val="clear"/>
        <w:jc w:val="left"/>
        <w:rPr>
          <w:rFonts w:cs="Times New Roman" w:asciiTheme="minorEastAsia" w:hAnsiTheme="minorEastAsia"/>
          <w:b/>
          <w:caps/>
          <w:kern w:val="0"/>
          <w:sz w:val="28"/>
          <w:szCs w:val="28"/>
        </w:rPr>
      </w:pPr>
    </w:p>
    <w:p w14:paraId="4ED85274">
      <w:pPr>
        <w:widowControl/>
        <w:shd w:val="clear"/>
        <w:jc w:val="left"/>
        <w:rPr>
          <w:rFonts w:cs="Times New Roman" w:asciiTheme="minorEastAsia" w:hAnsiTheme="minorEastAsia"/>
          <w:b/>
          <w:caps/>
          <w:kern w:val="0"/>
          <w:sz w:val="28"/>
          <w:szCs w:val="28"/>
        </w:rPr>
      </w:pPr>
    </w:p>
    <w:p w14:paraId="1FEACDD8">
      <w:pPr>
        <w:widowControl/>
        <w:shd w:val="clear"/>
        <w:jc w:val="left"/>
        <w:rPr>
          <w:rFonts w:cs="Times New Roman" w:asciiTheme="minorEastAsia" w:hAnsiTheme="minorEastAsia"/>
          <w:b/>
          <w:caps/>
          <w:kern w:val="0"/>
          <w:sz w:val="28"/>
          <w:szCs w:val="28"/>
        </w:rPr>
      </w:pPr>
    </w:p>
    <w:p w14:paraId="08122D11">
      <w:pPr>
        <w:widowControl/>
        <w:shd w:val="clear"/>
        <w:jc w:val="left"/>
        <w:rPr>
          <w:rFonts w:cs="Times New Roman" w:asciiTheme="minorEastAsia" w:hAnsiTheme="minorEastAsia"/>
          <w:b/>
          <w:caps/>
          <w:kern w:val="0"/>
          <w:sz w:val="28"/>
          <w:szCs w:val="28"/>
        </w:rPr>
      </w:pPr>
    </w:p>
    <w:p w14:paraId="5AC8F5E4">
      <w:pPr>
        <w:widowControl/>
        <w:shd w:val="clear"/>
        <w:jc w:val="left"/>
        <w:rPr>
          <w:rFonts w:cs="Times New Roman" w:asciiTheme="minorEastAsia" w:hAnsiTheme="minorEastAsia"/>
          <w:b/>
          <w:caps/>
          <w:kern w:val="0"/>
          <w:sz w:val="28"/>
          <w:szCs w:val="28"/>
        </w:rPr>
      </w:pPr>
    </w:p>
    <w:p w14:paraId="13994BD1">
      <w:pPr>
        <w:widowControl/>
        <w:shd w:val="clear"/>
        <w:jc w:val="left"/>
        <w:rPr>
          <w:rFonts w:cs="Times New Roman" w:asciiTheme="minorEastAsia" w:hAnsiTheme="minorEastAsia"/>
          <w:b/>
          <w:caps/>
          <w:kern w:val="0"/>
          <w:sz w:val="28"/>
          <w:szCs w:val="28"/>
        </w:rPr>
      </w:pPr>
    </w:p>
    <w:p w14:paraId="4045978D">
      <w:pPr>
        <w:widowControl/>
        <w:shd w:val="clear"/>
        <w:jc w:val="left"/>
        <w:rPr>
          <w:rFonts w:cs="Times New Roman" w:asciiTheme="minorEastAsia" w:hAnsiTheme="minorEastAsia"/>
          <w:b/>
          <w:caps/>
          <w:kern w:val="0"/>
          <w:sz w:val="28"/>
          <w:szCs w:val="28"/>
        </w:rPr>
      </w:pPr>
    </w:p>
    <w:p w14:paraId="4C1E92C3">
      <w:pPr>
        <w:widowControl/>
        <w:shd w:val="clear"/>
        <w:jc w:val="left"/>
        <w:rPr>
          <w:rFonts w:cs="Times New Roman" w:asciiTheme="minorEastAsia" w:hAnsiTheme="minorEastAsia"/>
          <w:b/>
          <w:caps/>
          <w:kern w:val="0"/>
          <w:sz w:val="28"/>
          <w:szCs w:val="28"/>
        </w:rPr>
      </w:pPr>
    </w:p>
    <w:p w14:paraId="7B294F09">
      <w:pPr>
        <w:widowControl/>
        <w:shd w:val="clear"/>
        <w:jc w:val="left"/>
        <w:rPr>
          <w:rFonts w:cs="Times New Roman" w:asciiTheme="minorEastAsia" w:hAnsiTheme="minorEastAsia"/>
          <w:b/>
          <w:caps/>
          <w:kern w:val="0"/>
          <w:sz w:val="28"/>
          <w:szCs w:val="28"/>
        </w:rPr>
      </w:pPr>
    </w:p>
    <w:p w14:paraId="1AECD949">
      <w:pPr>
        <w:widowControl/>
        <w:shd w:val="clear"/>
        <w:jc w:val="left"/>
        <w:rPr>
          <w:rFonts w:cs="Times New Roman" w:asciiTheme="minorEastAsia" w:hAnsiTheme="minorEastAsia"/>
          <w:b/>
          <w:caps/>
          <w:kern w:val="0"/>
          <w:sz w:val="28"/>
          <w:szCs w:val="28"/>
        </w:rPr>
      </w:pPr>
    </w:p>
    <w:p w14:paraId="60CC2F7E">
      <w:pPr>
        <w:widowControl/>
        <w:shd w:val="clear"/>
        <w:jc w:val="left"/>
        <w:rPr>
          <w:rFonts w:cs="Times New Roman" w:asciiTheme="minorEastAsia" w:hAnsiTheme="minorEastAsia"/>
          <w:b/>
          <w:caps/>
          <w:kern w:val="0"/>
          <w:sz w:val="28"/>
          <w:szCs w:val="28"/>
        </w:rPr>
      </w:pPr>
    </w:p>
    <w:p w14:paraId="0E069EE2">
      <w:pPr>
        <w:widowControl/>
        <w:shd w:val="clear"/>
        <w:jc w:val="left"/>
        <w:rPr>
          <w:rFonts w:cs="Times New Roman" w:asciiTheme="minorEastAsia" w:hAnsiTheme="minorEastAsia"/>
          <w:b/>
          <w:caps/>
          <w:kern w:val="0"/>
          <w:sz w:val="28"/>
          <w:szCs w:val="28"/>
        </w:rPr>
        <w:sectPr>
          <w:pgSz w:w="11906" w:h="16838"/>
          <w:pgMar w:top="1440" w:right="1800" w:bottom="1440" w:left="1800" w:header="851" w:footer="992" w:gutter="0"/>
          <w:cols w:space="425" w:num="1"/>
          <w:docGrid w:type="lines" w:linePitch="312" w:charSpace="0"/>
        </w:sectPr>
      </w:pPr>
    </w:p>
    <w:p w14:paraId="14162CF8">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一</w:t>
      </w:r>
      <w:r>
        <w:rPr>
          <w:rFonts w:hint="eastAsia" w:cs="Times New Roman" w:asciiTheme="minorEastAsia" w:hAnsiTheme="minorEastAsia"/>
          <w:b/>
          <w:kern w:val="0"/>
          <w:sz w:val="28"/>
          <w:szCs w:val="28"/>
          <w:lang w:eastAsia="zh-CN"/>
        </w:rPr>
        <w:t>、</w:t>
      </w: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5B3EC7D0">
      <w:pPr>
        <w:shd w:val="clear"/>
        <w:adjustRightInd w:val="0"/>
        <w:snapToGrid w:val="0"/>
        <w:spacing w:line="400" w:lineRule="exact"/>
        <w:jc w:val="left"/>
        <w:textAlignment w:val="baseline"/>
        <w:rPr>
          <w:rFonts w:ascii="宋体" w:hAnsi="宋体" w:eastAsia="宋体" w:cs="Times New Roman"/>
          <w:b/>
          <w:caps/>
          <w:kern w:val="0"/>
          <w:sz w:val="24"/>
          <w:szCs w:val="24"/>
        </w:rPr>
      </w:pPr>
    </w:p>
    <w:p w14:paraId="2E7ECA93">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4E2A645">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55FEF8C7">
      <w:pPr>
        <w:shd w:val="clear"/>
        <w:autoSpaceDE w:val="0"/>
        <w:autoSpaceDN w:val="0"/>
        <w:adjustRightInd w:val="0"/>
        <w:spacing w:line="600" w:lineRule="exact"/>
        <w:rPr>
          <w:rFonts w:ascii="微软雅黑" w:hAnsi="Times New Roman" w:eastAsia="微软雅黑" w:cs="微软雅黑"/>
          <w:kern w:val="0"/>
          <w:sz w:val="20"/>
          <w:szCs w:val="20"/>
        </w:rPr>
      </w:pPr>
    </w:p>
    <w:p w14:paraId="2F478352">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585A3D6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AA5C8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7DA1F5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8F3C5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E034E3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4F1FD5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DEDE2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96886A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7209A9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99B94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D870D3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9D3B3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DFF1D0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C085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49CFFD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5B529B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9FC8EC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21BB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5FCBE5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B6EB73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079A9D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1A5E11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B7C91F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1CC81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D095F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738FDE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C166A6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86B472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4B4DAC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3BBA2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93B36F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53DD72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DF1CFC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2C5277B">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4A2965B6">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2E655606">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290BDF42">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5</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1ABFC345">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742FDA74">
      <w:pPr>
        <w:pStyle w:val="2"/>
        <w:sectPr>
          <w:pgSz w:w="11906" w:h="16838"/>
          <w:pgMar w:top="1440" w:right="1800" w:bottom="1440" w:left="1800" w:header="851" w:footer="992" w:gutter="0"/>
          <w:cols w:space="425" w:num="1"/>
          <w:docGrid w:type="lines" w:linePitch="312" w:charSpace="0"/>
        </w:sectPr>
      </w:pPr>
    </w:p>
    <w:p w14:paraId="68AD00BC">
      <w:pPr>
        <w:widowControl/>
        <w:shd w:val="clear"/>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cs="Times New Roman" w:asciiTheme="minorEastAsia" w:hAnsiTheme="minorEastAsia"/>
          <w:kern w:val="0"/>
          <w:sz w:val="24"/>
          <w:szCs w:val="24"/>
          <w:u w:val="single"/>
        </w:rPr>
        <w:t>(填写项目名称)</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shd w:val="clear"/>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shd w:val="clear"/>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78FDD42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4"/>
        <w:spacing w:after="360" w:line="360" w:lineRule="auto"/>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4"/>
        <w:spacing w:after="360" w:line="360" w:lineRule="auto"/>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spacing w:line="360" w:lineRule="auto"/>
              <w:rPr>
                <w:rFonts w:hint="eastAsia" w:asciiTheme="minorEastAsia" w:hAnsiTheme="minorEastAsia" w:eastAsiaTheme="minorEastAsia" w:cstheme="minorEastAsia"/>
                <w:color w:val="auto"/>
                <w:sz w:val="24"/>
                <w:szCs w:val="24"/>
                <w:highlight w:val="none"/>
                <w:lang w:val="zh-CN"/>
              </w:rPr>
            </w:pPr>
          </w:p>
          <w:p w14:paraId="0B4005BC">
            <w:pPr>
              <w:spacing w:line="360" w:lineRule="auto"/>
              <w:rPr>
                <w:rFonts w:hint="eastAsia" w:asciiTheme="minorEastAsia" w:hAnsiTheme="minorEastAsia" w:eastAsiaTheme="minorEastAsia" w:cstheme="minorEastAsia"/>
                <w:color w:val="auto"/>
                <w:sz w:val="24"/>
                <w:szCs w:val="24"/>
                <w:highlight w:val="none"/>
                <w:lang w:val="zh-CN"/>
              </w:rPr>
            </w:pPr>
          </w:p>
          <w:p w14:paraId="5B10298F">
            <w:pPr>
              <w:spacing w:line="360" w:lineRule="auto"/>
              <w:rPr>
                <w:rFonts w:hint="eastAsia" w:asciiTheme="minorEastAsia" w:hAnsiTheme="minorEastAsia" w:eastAsiaTheme="minorEastAsia" w:cstheme="minorEastAsia"/>
                <w:color w:val="auto"/>
                <w:sz w:val="24"/>
                <w:szCs w:val="24"/>
                <w:highlight w:val="none"/>
                <w:lang w:val="zh-CN"/>
              </w:rPr>
            </w:pPr>
          </w:p>
          <w:p w14:paraId="0A29CC0D">
            <w:pPr>
              <w:spacing w:line="360" w:lineRule="auto"/>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10A4D233">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0" w:name="_Toc477185304"/>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6DA933A0">
      <w:pPr>
        <w:keepNext w:val="0"/>
        <w:keepLines w:val="0"/>
        <w:pageBreakBefore w:val="0"/>
        <w:widowControl/>
        <w:shd w:val="clear" w:color="auto"/>
        <w:kinsoku/>
        <w:wordWrap/>
        <w:overflowPunct/>
        <w:topLinePunct w:val="0"/>
        <w:autoSpaceDE/>
        <w:autoSpaceDN/>
        <w:bidi w:val="0"/>
        <w:adjustRightInd/>
        <w:snapToGrid/>
        <w:spacing w:line="54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（1）参与谈判的售电公司需提供营业执照、保函、黑龙江电力交易中心授权交易复印件各一份；</w:t>
      </w:r>
    </w:p>
    <w:p w14:paraId="4FCF402B">
      <w:pPr>
        <w:keepNext w:val="0"/>
        <w:keepLines w:val="0"/>
        <w:pageBreakBefore w:val="0"/>
        <w:widowControl/>
        <w:shd w:val="clear" w:color="auto"/>
        <w:kinsoku/>
        <w:wordWrap/>
        <w:overflowPunct/>
        <w:topLinePunct w:val="0"/>
        <w:autoSpaceDE/>
        <w:autoSpaceDN/>
        <w:bidi w:val="0"/>
        <w:adjustRightInd/>
        <w:snapToGrid/>
        <w:spacing w:line="54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（2）响应供应商必须获得黑龙江电力交易中心准许入市且经营规范有良好信誉的售电公司，以黑龙江电力交易中心官网为准；</w:t>
      </w:r>
    </w:p>
    <w:p w14:paraId="04F88307">
      <w:pPr>
        <w:pStyle w:val="2"/>
        <w:keepNext w:val="0"/>
        <w:keepLines w:val="0"/>
        <w:pageBreakBefore w:val="0"/>
        <w:kinsoku/>
        <w:wordWrap/>
        <w:overflowPunct/>
        <w:topLinePunct w:val="0"/>
        <w:autoSpaceDE/>
        <w:autoSpaceDN/>
        <w:bidi w:val="0"/>
        <w:adjustRightInd/>
        <w:spacing w:line="540" w:lineRule="exac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（3）其他资质包含但不限于信用中国、公司荣誉资质等；</w:t>
      </w:r>
    </w:p>
    <w:p w14:paraId="391368C2">
      <w:pPr>
        <w:pStyle w:val="2"/>
        <w:keepNext w:val="0"/>
        <w:keepLines w:val="0"/>
        <w:pageBreakBefore w:val="0"/>
        <w:kinsoku/>
        <w:wordWrap/>
        <w:overflowPunct/>
        <w:topLinePunct w:val="0"/>
        <w:autoSpaceDE/>
        <w:autoSpaceDN/>
        <w:bidi w:val="0"/>
        <w:adjustRightInd/>
        <w:spacing w:line="540" w:lineRule="exac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（4）需提供企业查无法律诉讼页面等等；</w:t>
      </w:r>
    </w:p>
    <w:p w14:paraId="7D3BCAAE">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（5）响应供应商的年度可售电量为不限量。</w:t>
      </w:r>
    </w:p>
    <w:p w14:paraId="480EE4D3">
      <w:pPr>
        <w:pStyle w:val="2"/>
        <w:keepNext w:val="0"/>
        <w:keepLines w:val="0"/>
        <w:pageBreakBefore w:val="0"/>
        <w:kinsoku/>
        <w:wordWrap/>
        <w:overflowPunct/>
        <w:topLinePunct w:val="0"/>
        <w:autoSpaceDE/>
        <w:autoSpaceDN/>
        <w:bidi w:val="0"/>
        <w:adjustRightInd/>
        <w:spacing w:line="540" w:lineRule="exact"/>
        <w:textAlignment w:val="auto"/>
        <w:rPr>
          <w:rFonts w:hint="eastAsia" w:ascii="宋体" w:hAnsi="宋体" w:eastAsia="宋体" w:cs="宋体"/>
          <w:b w:val="0"/>
          <w:bCs w:val="0"/>
          <w:color w:val="auto"/>
          <w:sz w:val="24"/>
          <w:szCs w:val="24"/>
          <w:highlight w:val="none"/>
          <w:u w:val="none"/>
          <w:lang w:val="en-US" w:eastAsia="zh-CN"/>
        </w:rPr>
      </w:pPr>
    </w:p>
    <w:p w14:paraId="3F89BCFC">
      <w:pPr>
        <w:pStyle w:val="2"/>
        <w:rPr>
          <w:rFonts w:hint="eastAsia"/>
        </w:rPr>
      </w:pPr>
    </w:p>
    <w:p w14:paraId="6EEB2951">
      <w:pPr>
        <w:shd w:val="clear"/>
        <w:adjustRightInd w:val="0"/>
        <w:snapToGrid w:val="0"/>
        <w:spacing w:line="400" w:lineRule="exact"/>
        <w:jc w:val="left"/>
        <w:textAlignment w:val="baseline"/>
        <w:rPr>
          <w:rFonts w:hint="eastAsia" w:ascii="宋体" w:hAnsi="宋体" w:eastAsia="宋体" w:cs="宋体"/>
          <w:sz w:val="24"/>
          <w:szCs w:val="24"/>
        </w:rPr>
      </w:pPr>
    </w:p>
    <w:p w14:paraId="32625AEC">
      <w:pPr>
        <w:shd w:val="clear"/>
        <w:adjustRightInd w:val="0"/>
        <w:snapToGrid w:val="0"/>
        <w:spacing w:line="400" w:lineRule="exact"/>
        <w:jc w:val="left"/>
        <w:textAlignment w:val="baseline"/>
        <w:rPr>
          <w:rFonts w:hint="eastAsia" w:ascii="宋体" w:hAnsi="宋体" w:eastAsia="宋体" w:cs="宋体"/>
          <w:sz w:val="24"/>
          <w:szCs w:val="24"/>
        </w:rPr>
      </w:pPr>
    </w:p>
    <w:p w14:paraId="64A7488D">
      <w:pPr>
        <w:shd w:val="clear"/>
        <w:adjustRightInd w:val="0"/>
        <w:snapToGrid w:val="0"/>
        <w:spacing w:line="400" w:lineRule="exact"/>
        <w:jc w:val="left"/>
        <w:textAlignment w:val="baseline"/>
        <w:rPr>
          <w:rFonts w:hint="eastAsia" w:ascii="宋体" w:hAnsi="宋体" w:eastAsia="宋体" w:cs="宋体"/>
          <w:sz w:val="24"/>
          <w:szCs w:val="24"/>
        </w:rPr>
      </w:pPr>
    </w:p>
    <w:p w14:paraId="197AC0E4">
      <w:pPr>
        <w:shd w:val="clear"/>
        <w:adjustRightInd w:val="0"/>
        <w:snapToGrid w:val="0"/>
        <w:spacing w:line="400" w:lineRule="exact"/>
        <w:jc w:val="left"/>
        <w:textAlignment w:val="baseline"/>
        <w:rPr>
          <w:rFonts w:hint="eastAsia" w:ascii="宋体" w:hAnsi="宋体" w:eastAsia="宋体" w:cs="宋体"/>
          <w:sz w:val="24"/>
          <w:szCs w:val="24"/>
        </w:rPr>
      </w:pPr>
    </w:p>
    <w:p w14:paraId="43301609">
      <w:pPr>
        <w:shd w:val="clear"/>
        <w:adjustRightInd w:val="0"/>
        <w:snapToGrid w:val="0"/>
        <w:spacing w:line="400" w:lineRule="exact"/>
        <w:jc w:val="left"/>
        <w:textAlignment w:val="baseline"/>
        <w:rPr>
          <w:rFonts w:hint="eastAsia" w:ascii="宋体" w:hAnsi="宋体" w:eastAsia="宋体" w:cs="宋体"/>
          <w:sz w:val="24"/>
          <w:szCs w:val="24"/>
        </w:rPr>
      </w:pPr>
    </w:p>
    <w:p w14:paraId="4183BF97">
      <w:pPr>
        <w:shd w:val="clear"/>
        <w:adjustRightInd w:val="0"/>
        <w:snapToGrid w:val="0"/>
        <w:spacing w:line="400" w:lineRule="exact"/>
        <w:jc w:val="left"/>
        <w:textAlignment w:val="baseline"/>
        <w:rPr>
          <w:rFonts w:hint="eastAsia" w:ascii="宋体" w:hAnsi="宋体" w:eastAsia="宋体" w:cs="宋体"/>
          <w:sz w:val="24"/>
          <w:szCs w:val="24"/>
        </w:rPr>
      </w:pPr>
    </w:p>
    <w:p w14:paraId="65DA6CEF">
      <w:pPr>
        <w:shd w:val="clear"/>
        <w:adjustRightInd w:val="0"/>
        <w:snapToGrid w:val="0"/>
        <w:spacing w:line="400" w:lineRule="exact"/>
        <w:jc w:val="left"/>
        <w:textAlignment w:val="baseline"/>
        <w:rPr>
          <w:rFonts w:hint="eastAsia" w:ascii="宋体" w:hAnsi="宋体" w:eastAsia="宋体" w:cs="宋体"/>
          <w:sz w:val="24"/>
          <w:szCs w:val="24"/>
        </w:rPr>
      </w:pPr>
    </w:p>
    <w:p w14:paraId="1F2D0C44">
      <w:pPr>
        <w:shd w:val="clear"/>
        <w:adjustRightInd w:val="0"/>
        <w:snapToGrid w:val="0"/>
        <w:spacing w:line="400" w:lineRule="exact"/>
        <w:jc w:val="left"/>
        <w:textAlignment w:val="baseline"/>
        <w:rPr>
          <w:rFonts w:hint="eastAsia" w:ascii="宋体" w:hAnsi="宋体" w:eastAsia="宋体" w:cs="宋体"/>
          <w:sz w:val="24"/>
          <w:szCs w:val="24"/>
        </w:rPr>
      </w:pPr>
    </w:p>
    <w:p w14:paraId="462DDDA1">
      <w:pPr>
        <w:shd w:val="clear"/>
        <w:adjustRightInd w:val="0"/>
        <w:snapToGrid w:val="0"/>
        <w:spacing w:line="400" w:lineRule="exact"/>
        <w:jc w:val="left"/>
        <w:textAlignment w:val="baseline"/>
        <w:rPr>
          <w:rFonts w:hint="eastAsia" w:ascii="宋体" w:hAnsi="宋体" w:eastAsia="宋体" w:cs="宋体"/>
          <w:sz w:val="24"/>
          <w:szCs w:val="24"/>
        </w:rPr>
      </w:pPr>
    </w:p>
    <w:p w14:paraId="41073FE9">
      <w:pPr>
        <w:shd w:val="clear"/>
        <w:adjustRightInd w:val="0"/>
        <w:snapToGrid w:val="0"/>
        <w:spacing w:line="400" w:lineRule="exact"/>
        <w:jc w:val="left"/>
        <w:textAlignment w:val="baseline"/>
        <w:rPr>
          <w:rFonts w:hint="eastAsia" w:ascii="宋体" w:hAnsi="宋体" w:eastAsia="宋体" w:cs="宋体"/>
          <w:sz w:val="24"/>
          <w:szCs w:val="24"/>
        </w:rPr>
      </w:pPr>
    </w:p>
    <w:p w14:paraId="5D28B2BC">
      <w:pPr>
        <w:shd w:val="clear"/>
        <w:adjustRightInd w:val="0"/>
        <w:snapToGrid w:val="0"/>
        <w:spacing w:line="400" w:lineRule="exact"/>
        <w:jc w:val="left"/>
        <w:textAlignment w:val="baseline"/>
        <w:rPr>
          <w:rFonts w:hint="eastAsia" w:ascii="宋体" w:hAnsi="宋体" w:eastAsia="宋体" w:cs="宋体"/>
          <w:sz w:val="24"/>
          <w:szCs w:val="24"/>
        </w:rPr>
      </w:pPr>
    </w:p>
    <w:p w14:paraId="2C3C13ED">
      <w:pPr>
        <w:shd w:val="clear"/>
        <w:adjustRightInd w:val="0"/>
        <w:snapToGrid w:val="0"/>
        <w:spacing w:line="400" w:lineRule="exact"/>
        <w:jc w:val="left"/>
        <w:textAlignment w:val="baseline"/>
        <w:rPr>
          <w:rFonts w:hint="eastAsia" w:ascii="宋体" w:hAnsi="宋体" w:eastAsia="宋体" w:cs="宋体"/>
          <w:sz w:val="24"/>
          <w:szCs w:val="24"/>
        </w:rPr>
      </w:pPr>
    </w:p>
    <w:p w14:paraId="74AE8EC7">
      <w:pPr>
        <w:shd w:val="clear"/>
        <w:adjustRightInd w:val="0"/>
        <w:snapToGrid w:val="0"/>
        <w:spacing w:line="400" w:lineRule="exact"/>
        <w:jc w:val="left"/>
        <w:textAlignment w:val="baseline"/>
        <w:rPr>
          <w:rFonts w:hint="eastAsia" w:ascii="宋体" w:hAnsi="宋体" w:eastAsia="宋体" w:cs="宋体"/>
          <w:sz w:val="24"/>
          <w:szCs w:val="24"/>
        </w:rPr>
      </w:pPr>
    </w:p>
    <w:p w14:paraId="1FE62053">
      <w:pPr>
        <w:shd w:val="clear"/>
        <w:adjustRightInd w:val="0"/>
        <w:snapToGrid w:val="0"/>
        <w:spacing w:line="400" w:lineRule="exact"/>
        <w:jc w:val="left"/>
        <w:textAlignment w:val="baseline"/>
        <w:rPr>
          <w:rFonts w:hint="eastAsia" w:ascii="宋体" w:hAnsi="宋体" w:eastAsia="宋体" w:cs="宋体"/>
          <w:sz w:val="24"/>
          <w:szCs w:val="24"/>
        </w:rPr>
      </w:pPr>
    </w:p>
    <w:p w14:paraId="7EC09C5A">
      <w:pPr>
        <w:shd w:val="clear"/>
        <w:adjustRightInd w:val="0"/>
        <w:snapToGrid w:val="0"/>
        <w:spacing w:line="400" w:lineRule="exact"/>
        <w:jc w:val="left"/>
        <w:textAlignment w:val="baseline"/>
        <w:rPr>
          <w:rFonts w:hint="eastAsia" w:ascii="宋体" w:hAnsi="宋体" w:eastAsia="宋体" w:cs="宋体"/>
          <w:sz w:val="24"/>
          <w:szCs w:val="24"/>
        </w:rPr>
      </w:pPr>
    </w:p>
    <w:p w14:paraId="5FE70631">
      <w:pPr>
        <w:shd w:val="clear"/>
        <w:adjustRightInd w:val="0"/>
        <w:snapToGrid w:val="0"/>
        <w:spacing w:line="400" w:lineRule="exact"/>
        <w:jc w:val="left"/>
        <w:textAlignment w:val="baseline"/>
        <w:rPr>
          <w:rFonts w:hint="eastAsia" w:ascii="宋体" w:hAnsi="宋体" w:eastAsia="宋体" w:cs="宋体"/>
          <w:sz w:val="24"/>
          <w:szCs w:val="24"/>
        </w:rPr>
      </w:pPr>
    </w:p>
    <w:p w14:paraId="4ACAC402">
      <w:pPr>
        <w:shd w:val="clear"/>
        <w:adjustRightInd w:val="0"/>
        <w:snapToGrid w:val="0"/>
        <w:spacing w:line="400" w:lineRule="exact"/>
        <w:jc w:val="left"/>
        <w:textAlignment w:val="baseline"/>
        <w:rPr>
          <w:rFonts w:hint="eastAsia" w:ascii="宋体" w:hAnsi="宋体" w:eastAsia="宋体" w:cs="宋体"/>
          <w:sz w:val="24"/>
          <w:szCs w:val="24"/>
        </w:rPr>
      </w:pPr>
    </w:p>
    <w:p w14:paraId="021C3791">
      <w:pPr>
        <w:shd w:val="clear"/>
        <w:adjustRightInd w:val="0"/>
        <w:snapToGrid w:val="0"/>
        <w:spacing w:line="400" w:lineRule="exact"/>
        <w:jc w:val="left"/>
        <w:textAlignment w:val="baseline"/>
        <w:rPr>
          <w:rFonts w:hint="eastAsia" w:ascii="宋体" w:hAnsi="宋体" w:eastAsia="宋体" w:cs="宋体"/>
          <w:sz w:val="24"/>
          <w:szCs w:val="24"/>
        </w:rPr>
      </w:pPr>
    </w:p>
    <w:p w14:paraId="493D5B33">
      <w:pPr>
        <w:shd w:val="clear"/>
        <w:adjustRightInd w:val="0"/>
        <w:snapToGrid w:val="0"/>
        <w:spacing w:line="400" w:lineRule="exact"/>
        <w:jc w:val="left"/>
        <w:textAlignment w:val="baseline"/>
        <w:rPr>
          <w:rFonts w:hint="eastAsia" w:ascii="宋体" w:hAnsi="宋体" w:eastAsia="宋体" w:cs="宋体"/>
          <w:sz w:val="24"/>
          <w:szCs w:val="24"/>
        </w:rPr>
      </w:pPr>
    </w:p>
    <w:p w14:paraId="4602676F">
      <w:pPr>
        <w:shd w:val="clear"/>
        <w:adjustRightInd w:val="0"/>
        <w:snapToGrid w:val="0"/>
        <w:spacing w:line="400" w:lineRule="exact"/>
        <w:jc w:val="left"/>
        <w:textAlignment w:val="baseline"/>
        <w:rPr>
          <w:rFonts w:hint="eastAsia" w:ascii="宋体" w:hAnsi="宋体" w:eastAsia="宋体" w:cs="宋体"/>
          <w:sz w:val="24"/>
          <w:szCs w:val="24"/>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2F04BD76">
      <w:pPr>
        <w:pStyle w:val="2"/>
        <w:keepNext w:val="0"/>
        <w:keepLines w:val="0"/>
        <w:pageBreakBefore w:val="0"/>
        <w:widowControl w:val="0"/>
        <w:kinsoku/>
        <w:wordWrap/>
        <w:overflowPunct/>
        <w:topLinePunct w:val="0"/>
        <w:autoSpaceDE/>
        <w:autoSpaceDN/>
        <w:bidi w:val="0"/>
        <w:snapToGrid w:val="0"/>
        <w:spacing w:line="540" w:lineRule="exact"/>
        <w:textAlignment w:val="auto"/>
        <w:rPr>
          <w:rFonts w:hint="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要求：按照公告中的报价要求，自行编制</w:t>
      </w:r>
    </w:p>
    <w:p w14:paraId="3B74ADAF">
      <w:pPr>
        <w:shd w:val="clear"/>
        <w:tabs>
          <w:tab w:val="left" w:pos="1800"/>
          <w:tab w:val="left" w:pos="5580"/>
        </w:tabs>
        <w:adjustRightInd w:val="0"/>
        <w:snapToGrid w:val="0"/>
        <w:spacing w:line="400" w:lineRule="exact"/>
        <w:ind w:right="-885"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885"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885"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人授权代表(签字或盖章):</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00BDDFA0">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E726B4C">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33C7E50D">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498AB2D">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22</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3</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宋体" w:hAnsi="宋体" w:eastAsia="宋体" w:cs="宋体"/>
          <w:b w:val="0"/>
          <w:bCs w:val="0"/>
          <w:color w:val="auto"/>
          <w:sz w:val="24"/>
          <w:szCs w:val="24"/>
          <w:highlight w:val="none"/>
          <w:u w:val="none"/>
          <w:lang w:val="en-US" w:eastAsia="zh-CN"/>
        </w:rPr>
        <w:t>响应供应商的财务经营状况良好，提供2023和2024年度最新有效的审计报告。</w:t>
      </w:r>
    </w:p>
    <w:p w14:paraId="38A7DDB0">
      <w:pPr>
        <w:shd w:val="clear"/>
        <w:adjustRightInd w:val="0"/>
        <w:snapToGrid w:val="0"/>
        <w:spacing w:line="400" w:lineRule="exact"/>
        <w:ind w:left="960" w:hanging="960" w:hangingChars="400"/>
        <w:jc w:val="left"/>
        <w:textAlignment w:val="baseline"/>
        <w:rPr>
          <w:rFonts w:hint="eastAsia" w:asciiTheme="minorEastAsia" w:hAnsiTheme="minorEastAsia"/>
          <w:sz w:val="24"/>
          <w:szCs w:val="24"/>
        </w:rPr>
      </w:pPr>
    </w:p>
    <w:p w14:paraId="0707BEDF">
      <w:pPr>
        <w:shd w:val="clear"/>
        <w:adjustRightInd w:val="0"/>
        <w:snapToGrid w:val="0"/>
        <w:spacing w:line="400" w:lineRule="exact"/>
        <w:ind w:left="960" w:hanging="960" w:hangingChars="400"/>
        <w:jc w:val="left"/>
        <w:textAlignment w:val="baseline"/>
        <w:rPr>
          <w:rFonts w:hint="eastAsia" w:asciiTheme="minorEastAsia" w:hAnsiTheme="minorEastAsia"/>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700" w:leftChars="100" w:hanging="420" w:hangingChars="200"/>
        <w:rPr>
          <w:rFonts w:asciiTheme="minorEastAsia" w:hAnsiTheme="minorEastAsia"/>
          <w:kern w:val="0"/>
        </w:rPr>
      </w:pPr>
    </w:p>
    <w:p w14:paraId="5FE70BFC">
      <w:pPr>
        <w:shd w:val="clear"/>
        <w:tabs>
          <w:tab w:val="left" w:pos="5580"/>
        </w:tabs>
        <w:spacing w:line="360" w:lineRule="auto"/>
        <w:ind w:left="700" w:leftChars="100" w:hanging="420" w:hangingChars="200"/>
        <w:rPr>
          <w:rFonts w:asciiTheme="minorEastAsia" w:hAnsiTheme="minorEastAsia"/>
          <w:kern w:val="0"/>
        </w:rPr>
      </w:pPr>
    </w:p>
    <w:p w14:paraId="4C8C07DD">
      <w:pPr>
        <w:shd w:val="clear"/>
        <w:tabs>
          <w:tab w:val="left" w:pos="5580"/>
        </w:tabs>
        <w:spacing w:line="360" w:lineRule="auto"/>
        <w:ind w:left="700" w:leftChars="100" w:hanging="420" w:hangingChars="200"/>
        <w:rPr>
          <w:rFonts w:asciiTheme="minorEastAsia" w:hAnsiTheme="minorEastAsia"/>
          <w:kern w:val="0"/>
        </w:rPr>
      </w:pPr>
    </w:p>
    <w:p w14:paraId="71BEFA4C">
      <w:pPr>
        <w:shd w:val="clear"/>
        <w:tabs>
          <w:tab w:val="left" w:pos="5580"/>
        </w:tabs>
        <w:spacing w:line="360" w:lineRule="auto"/>
        <w:ind w:left="700" w:leftChars="100" w:hanging="420" w:hangingChars="200"/>
        <w:rPr>
          <w:rFonts w:asciiTheme="minorEastAsia" w:hAnsiTheme="minorEastAsia"/>
          <w:kern w:val="0"/>
        </w:rPr>
      </w:pPr>
    </w:p>
    <w:p w14:paraId="132C97F4">
      <w:pPr>
        <w:shd w:val="clear"/>
        <w:tabs>
          <w:tab w:val="left" w:pos="5580"/>
        </w:tabs>
        <w:spacing w:line="360" w:lineRule="auto"/>
        <w:ind w:left="70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rPr>
        <w:t>其它响应资料</w:t>
      </w:r>
    </w:p>
    <w:p w14:paraId="5ED9FECC">
      <w:pPr>
        <w:shd w:val="clear"/>
        <w:spacing w:line="400" w:lineRule="exact"/>
        <w:rPr>
          <w:rFonts w:ascii="宋体" w:hAnsi="宋体" w:eastAsia="宋体" w:cs="宋体"/>
          <w:bCs/>
          <w:sz w:val="24"/>
          <w:szCs w:val="24"/>
        </w:rPr>
      </w:pPr>
    </w:p>
    <w:p w14:paraId="793B2420">
      <w:pPr>
        <w:shd w:val="clear"/>
        <w:spacing w:line="400" w:lineRule="exact"/>
        <w:rPr>
          <w:rFonts w:ascii="宋体" w:hAnsi="宋体" w:eastAsia="宋体" w:cs="宋体"/>
          <w:bCs/>
          <w:sz w:val="24"/>
          <w:szCs w:val="24"/>
        </w:rPr>
      </w:pPr>
    </w:p>
    <w:p w14:paraId="4BE4EB68">
      <w:pPr>
        <w:shd w:val="clear"/>
        <w:spacing w:line="400" w:lineRule="exact"/>
        <w:rPr>
          <w:rFonts w:ascii="宋体" w:hAnsi="宋体" w:eastAsia="宋体" w:cs="宋体"/>
          <w:bCs/>
          <w:sz w:val="24"/>
          <w:szCs w:val="24"/>
        </w:rPr>
      </w:pP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汉仪典雅体简">
    <w:panose1 w:val="00020600040101010101"/>
    <w:charset w:val="86"/>
    <w:family w:val="auto"/>
    <w:pitch w:val="default"/>
    <w:sig w:usb0="A00002BF" w:usb1="18EF7CFA" w:usb2="00000016"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4404903"/>
    <w:rsid w:val="062709AF"/>
    <w:rsid w:val="0667543C"/>
    <w:rsid w:val="067803E8"/>
    <w:rsid w:val="06EF029F"/>
    <w:rsid w:val="09FB2DEB"/>
    <w:rsid w:val="0AE813CD"/>
    <w:rsid w:val="0CD16F7A"/>
    <w:rsid w:val="10C76755"/>
    <w:rsid w:val="140E2149"/>
    <w:rsid w:val="18463B3B"/>
    <w:rsid w:val="1CC161ED"/>
    <w:rsid w:val="1E2117AC"/>
    <w:rsid w:val="1F0473BB"/>
    <w:rsid w:val="203C46E1"/>
    <w:rsid w:val="20B632AB"/>
    <w:rsid w:val="216E0257"/>
    <w:rsid w:val="22616928"/>
    <w:rsid w:val="22A540C7"/>
    <w:rsid w:val="243674C1"/>
    <w:rsid w:val="2AD42DD9"/>
    <w:rsid w:val="2B155F73"/>
    <w:rsid w:val="2C7546FD"/>
    <w:rsid w:val="31145778"/>
    <w:rsid w:val="31E652CA"/>
    <w:rsid w:val="32E5312C"/>
    <w:rsid w:val="3431715F"/>
    <w:rsid w:val="38292370"/>
    <w:rsid w:val="39336CC1"/>
    <w:rsid w:val="3B1344D0"/>
    <w:rsid w:val="3FC61BBF"/>
    <w:rsid w:val="41866A87"/>
    <w:rsid w:val="42AD6C5D"/>
    <w:rsid w:val="43734829"/>
    <w:rsid w:val="44231A85"/>
    <w:rsid w:val="47EC3E16"/>
    <w:rsid w:val="4A906A90"/>
    <w:rsid w:val="4AE579A5"/>
    <w:rsid w:val="4C78235F"/>
    <w:rsid w:val="4D2A56DF"/>
    <w:rsid w:val="4D680EAD"/>
    <w:rsid w:val="4D856642"/>
    <w:rsid w:val="4F8D77B2"/>
    <w:rsid w:val="4FCB2326"/>
    <w:rsid w:val="53855B7B"/>
    <w:rsid w:val="579B310A"/>
    <w:rsid w:val="580F5BC6"/>
    <w:rsid w:val="584E21A5"/>
    <w:rsid w:val="5AC90250"/>
    <w:rsid w:val="5B7F05AD"/>
    <w:rsid w:val="5E814684"/>
    <w:rsid w:val="65295C8B"/>
    <w:rsid w:val="65E01B77"/>
    <w:rsid w:val="664D3850"/>
    <w:rsid w:val="67565227"/>
    <w:rsid w:val="682A4A82"/>
    <w:rsid w:val="6E265769"/>
    <w:rsid w:val="6ED76403"/>
    <w:rsid w:val="703B79D3"/>
    <w:rsid w:val="71790608"/>
    <w:rsid w:val="71D87086"/>
    <w:rsid w:val="7235622E"/>
    <w:rsid w:val="79CD537E"/>
    <w:rsid w:val="7ADB1B01"/>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paragraph" w:customStyle="1" w:styleId="33">
    <w:name w:val="普通 (Web)"/>
    <w:basedOn w:val="1"/>
    <w:qFormat/>
    <w:uiPriority w:val="0"/>
    <w:pPr>
      <w:spacing w:before="100" w:beforeAutospacing="1" w:after="100" w:afterAutospacing="1"/>
    </w:pPr>
    <w:rPr>
      <w:rFonts w:ascii="宋体" w:hAnsi="宋体"/>
      <w:sz w:val="24"/>
      <w:szCs w:val="24"/>
    </w:rPr>
  </w:style>
  <w:style w:type="paragraph" w:customStyle="1" w:styleId="34">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13</Pages>
  <Words>2955</Words>
  <Characters>3067</Characters>
  <Lines>40</Lines>
  <Paragraphs>11</Paragraphs>
  <TotalTime>1</TotalTime>
  <ScaleCrop>false</ScaleCrop>
  <LinksUpToDate>false</LinksUpToDate>
  <CharactersWithSpaces>3104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2025-12-04T02:57:58Z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D460359E8B41400E9ACD78567E9F7905_13</vt:lpwstr>
  </property>
  <property fmtid="{D5CDD505-2E9C-101B-9397-08002B2CF9AE}" pid="4" name="KSOTemplateDocerSaveRecord">
    <vt:lpwstr>eyJoZGlkIjoiMmMyZTVjYWQ1NmNjZWU3ZjA1MGNhNmE2M2Y2YTI4MGMiLCJ1c2VySWQiOiI1MjY1OTQ0MzAifQ==</vt:lpwstr>
  </property>
</Properties>
</file>