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515F59DC">
      <w:pPr>
        <w:shd w:val="clear"/>
        <w:jc w:val="cente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危险废物处置项目响应</w:t>
      </w:r>
      <w:r>
        <w:rPr>
          <w:rFonts w:hint="eastAsia" w:asciiTheme="majorEastAsia" w:hAnsiTheme="majorEastAsia" w:eastAsiaTheme="majorEastAsia" w:cstheme="majorEastAsia"/>
          <w:b/>
          <w:color w:val="000000"/>
          <w:kern w:val="0"/>
          <w:sz w:val="36"/>
          <w:szCs w:val="36"/>
        </w:rPr>
        <w:t>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5</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12.26</w:t>
      </w:r>
    </w:p>
    <w:p w14:paraId="2FD5A1FD">
      <w:pPr>
        <w:pStyle w:val="4"/>
        <w:pageBreakBefore w:val="0"/>
        <w:shd w:val="clear"/>
        <w:kinsoku/>
        <w:wordWrap/>
        <w:overflowPunct/>
        <w:topLinePunct w:val="0"/>
        <w:autoSpaceDE/>
        <w:autoSpaceDN/>
        <w:bidi w:val="0"/>
        <w:spacing w:line="540" w:lineRule="exact"/>
        <w:ind w:left="0" w:firstLine="0" w:firstLineChars="0"/>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40" w:lineRule="exact"/>
        <w:ind w:left="0" w:firstLine="0" w:firstLineChars="0"/>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40" w:lineRule="exact"/>
        <w:ind w:left="0" w:firstLine="0" w:firstLineChars="0"/>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（5）国家有关法律法规禁止的情形。</w:t>
      </w:r>
    </w:p>
    <w:p w14:paraId="5F022632">
      <w:pPr>
        <w:keepNext w:val="0"/>
        <w:keepLines w:val="0"/>
        <w:pageBreakBefore w:val="0"/>
        <w:shd w:val="clear"/>
        <w:kinsoku/>
        <w:wordWrap/>
        <w:overflowPunct/>
        <w:topLinePunct w:val="0"/>
        <w:autoSpaceDE/>
        <w:autoSpaceDN/>
        <w:bidi w:val="0"/>
        <w:snapToGrid/>
        <w:spacing w:line="540" w:lineRule="exact"/>
        <w:ind w:left="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项目编号：FW2025-</w:t>
      </w:r>
      <w:r>
        <w:rPr>
          <w:rFonts w:hint="eastAsia" w:ascii="宋体" w:hAnsi="宋体" w:eastAsia="宋体" w:cs="宋体"/>
          <w:b w:val="0"/>
          <w:bCs w:val="0"/>
          <w:color w:val="auto"/>
          <w:kern w:val="0"/>
          <w:sz w:val="24"/>
          <w:szCs w:val="24"/>
          <w:highlight w:val="none"/>
          <w:lang w:val="en-US" w:eastAsia="zh-CN"/>
        </w:rPr>
        <w:t>83</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通用技术哈量公司危险废物处置项目</w:t>
      </w:r>
    </w:p>
    <w:p w14:paraId="4F5022D4">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6D5F76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6.1项目内容</w:t>
      </w:r>
    </w:p>
    <w:p w14:paraId="353B5EF2">
      <w:pPr>
        <w:keepNext w:val="0"/>
        <w:keepLines w:val="0"/>
        <w:pageBreakBefore w:val="0"/>
        <w:shd w:val="clear"/>
        <w:kinsoku/>
        <w:wordWrap/>
        <w:overflowPunct/>
        <w:topLinePunct w:val="0"/>
        <w:bidi w:val="0"/>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本项目是针对哈量公司危险废物的处置，包括900-305-34废酸液、336-054-17硫酸镍废水、900-999-49过期试剂、900-047-49试剂瓶等，预估废液8吨、过期药品1吨、试剂空瓶0.5吨。</w:t>
      </w:r>
    </w:p>
    <w:p w14:paraId="58BE3F76">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6.2服务要求</w:t>
      </w:r>
    </w:p>
    <w:p w14:paraId="58E96624">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（1）响应方必须具有《危险废物经营许可证》，且在有效期内，经营范围包括900-305-34、336-054-17、900-999-49、900-047-49以上四项危险废物，具有履行合同的能力；</w:t>
      </w:r>
    </w:p>
    <w:p w14:paraId="569FD521">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（2）供应商必须按国家和地方现行法律、法规及标准进行收集、运输、储存、处置和利用危险废物，并确保危险废物不对环境造成二次污染，不直接流入市场或社会中；</w:t>
      </w:r>
    </w:p>
    <w:p w14:paraId="72B484A4">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（3）供应商免费提供专用容器，进行打包、搬运，并按我方提出要求3日内安排专人提供危险废物的清运服务；</w:t>
      </w:r>
    </w:p>
    <w:p w14:paraId="3E74DFE0">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（4）清理和收集后的危险废物运输所用车辆必须具有危险品运输资质，并提供相应的运输应急预案；</w:t>
      </w:r>
    </w:p>
    <w:p w14:paraId="21804AC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（5）付款方式：以“危险废物转移联单”填写的危险废物类别和实际称重按成交价格进行结算。</w:t>
      </w:r>
    </w:p>
    <w:p w14:paraId="59951A7D">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6.3服务期限：合同签订生效后，3日内完成服务。</w:t>
      </w: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552264C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8.其它响应资料。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4ED85274">
      <w:pPr>
        <w:widowControl/>
        <w:shd w:val="clear"/>
        <w:jc w:val="left"/>
        <w:rPr>
          <w:rFonts w:cs="Times New Roman" w:asciiTheme="minorEastAsia" w:hAnsiTheme="minorEastAsia"/>
          <w:b/>
          <w:caps/>
          <w:kern w:val="0"/>
          <w:sz w:val="28"/>
          <w:szCs w:val="28"/>
        </w:rPr>
      </w:pPr>
    </w:p>
    <w:p w14:paraId="0E069EE2">
      <w:pPr>
        <w:widowControl/>
        <w:shd w:val="clear"/>
        <w:jc w:val="left"/>
        <w:rPr>
          <w:rFonts w:cs="Times New Roman" w:asciiTheme="minorEastAsia" w:hAnsiTheme="minorEastAsia"/>
          <w:b/>
          <w:caps/>
          <w:kern w:val="0"/>
          <w:sz w:val="28"/>
          <w:szCs w:val="28"/>
        </w:rPr>
        <w:sectPr>
          <w:pgSz w:w="11906" w:h="16838"/>
          <w:pgMar w:top="1440" w:right="1800" w:bottom="1440" w:left="1800" w:header="851" w:footer="992" w:gutter="0"/>
          <w:cols w:space="425" w:num="1"/>
          <w:docGrid w:type="lines" w:linePitch="312" w:charSpace="0"/>
        </w:sectPr>
      </w:pPr>
    </w:p>
    <w:p w14:paraId="78073E7E">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913A4B6">
      <w:pPr>
        <w:shd w:val="clear"/>
        <w:adjustRightInd w:val="0"/>
        <w:snapToGrid w:val="0"/>
        <w:spacing w:line="400" w:lineRule="exact"/>
        <w:jc w:val="left"/>
        <w:textAlignment w:val="baseline"/>
        <w:rPr>
          <w:rFonts w:ascii="宋体" w:hAnsi="宋体" w:eastAsia="宋体" w:cs="Times New Roman"/>
          <w:b/>
          <w:caps/>
          <w:kern w:val="0"/>
          <w:sz w:val="24"/>
          <w:szCs w:val="24"/>
        </w:rPr>
      </w:pPr>
    </w:p>
    <w:p w14:paraId="00187881">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6BF7610">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3C7594DA">
      <w:pPr>
        <w:shd w:val="clear"/>
        <w:autoSpaceDE w:val="0"/>
        <w:autoSpaceDN w:val="0"/>
        <w:adjustRightInd w:val="0"/>
        <w:spacing w:line="600" w:lineRule="exact"/>
        <w:rPr>
          <w:rFonts w:ascii="微软雅黑" w:hAnsi="Times New Roman" w:eastAsia="微软雅黑" w:cs="微软雅黑"/>
          <w:kern w:val="0"/>
          <w:sz w:val="20"/>
          <w:szCs w:val="20"/>
        </w:rPr>
      </w:pPr>
    </w:p>
    <w:p w14:paraId="17C11186">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3E46EF8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6EEE9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D164A8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1C5076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6E3336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FB37A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93F7F1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F2B9A5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ACD33F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3B11E1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A6EC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DF0F59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EA8216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CA784C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9CB8B5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CF83E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0D53B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6A158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03A0F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16112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EFA9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210F7E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F20B1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81152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F8D9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423F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9033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B3046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157783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32FF0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5D089B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08A115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B7BAA4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B276E1">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781F1D1D">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1EA4A9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38BC2842">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124588C">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EA323D7">
      <w:pPr>
        <w:pStyle w:val="2"/>
        <w:sectPr>
          <w:pgSz w:w="11906" w:h="16838"/>
          <w:pgMar w:top="1440" w:right="1800" w:bottom="1440" w:left="1800" w:header="851" w:footer="992" w:gutter="0"/>
          <w:cols w:space="425" w:num="1"/>
          <w:docGrid w:type="lines" w:linePitch="312" w:charSpace="0"/>
        </w:sectPr>
      </w:pPr>
    </w:p>
    <w:p w14:paraId="68AD00BC">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cs="Times New Roman" w:asciiTheme="minorEastAsia" w:hAnsiTheme="minorEastAsia"/>
          <w:kern w:val="0"/>
          <w:sz w:val="24"/>
          <w:szCs w:val="24"/>
          <w:u w:val="single"/>
        </w:rPr>
        <w:t>(填写项目名称)</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shd w:val="clear"/>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shd w:val="clear"/>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4"/>
        <w:spacing w:after="360" w:line="360" w:lineRule="auto"/>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4"/>
        <w:spacing w:after="360" w:line="360" w:lineRule="auto"/>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spacing w:line="360" w:lineRule="auto"/>
              <w:rPr>
                <w:rFonts w:hint="eastAsia" w:asciiTheme="minorEastAsia" w:hAnsiTheme="minorEastAsia" w:eastAsiaTheme="minorEastAsia" w:cstheme="minorEastAsia"/>
                <w:color w:val="auto"/>
                <w:sz w:val="24"/>
                <w:szCs w:val="24"/>
                <w:highlight w:val="none"/>
                <w:lang w:val="zh-CN"/>
              </w:rPr>
            </w:pPr>
          </w:p>
          <w:p w14:paraId="0B4005BC">
            <w:pPr>
              <w:spacing w:line="360" w:lineRule="auto"/>
              <w:rPr>
                <w:rFonts w:hint="eastAsia" w:asciiTheme="minorEastAsia" w:hAnsiTheme="minorEastAsia" w:eastAsiaTheme="minorEastAsia" w:cstheme="minorEastAsia"/>
                <w:color w:val="auto"/>
                <w:sz w:val="24"/>
                <w:szCs w:val="24"/>
                <w:highlight w:val="none"/>
                <w:lang w:val="zh-CN"/>
              </w:rPr>
            </w:pPr>
          </w:p>
          <w:p w14:paraId="5B10298F">
            <w:pPr>
              <w:spacing w:line="360" w:lineRule="auto"/>
              <w:rPr>
                <w:rFonts w:hint="eastAsia" w:asciiTheme="minorEastAsia" w:hAnsiTheme="minorEastAsia" w:eastAsiaTheme="minorEastAsia" w:cstheme="minorEastAsia"/>
                <w:color w:val="auto"/>
                <w:sz w:val="24"/>
                <w:szCs w:val="24"/>
                <w:highlight w:val="none"/>
                <w:lang w:val="zh-CN"/>
              </w:rPr>
            </w:pPr>
          </w:p>
          <w:p w14:paraId="0A29CC0D">
            <w:pPr>
              <w:spacing w:line="360" w:lineRule="auto"/>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10A4D233">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00DA41FD">
      <w:pPr>
        <w:keepNext w:val="0"/>
        <w:keepLines w:val="0"/>
        <w:pageBreakBefore w:val="0"/>
        <w:widowControl w:val="0"/>
        <w:shd w:val="clear"/>
        <w:kinsoku/>
        <w:wordWrap/>
        <w:overflowPunct/>
        <w:topLinePunct w:val="0"/>
        <w:autoSpaceDE/>
        <w:autoSpaceDN/>
        <w:bidi w:val="0"/>
        <w:adjustRightInd w:val="0"/>
        <w:snapToGrid w:val="0"/>
        <w:spacing w:line="540" w:lineRule="atLeas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必须提供：营业执照（</w:t>
      </w:r>
      <w:r>
        <w:rPr>
          <w:rFonts w:hint="eastAsia" w:ascii="宋体" w:hAnsi="宋体" w:eastAsia="宋体" w:cs="宋体"/>
          <w:b w:val="0"/>
          <w:bCs w:val="0"/>
          <w:color w:val="auto"/>
          <w:spacing w:val="-3"/>
          <w:sz w:val="24"/>
          <w:szCs w:val="24"/>
          <w:lang w:eastAsia="zh-CN"/>
        </w:rPr>
        <w:t>经营范围包括</w:t>
      </w:r>
      <w:r>
        <w:rPr>
          <w:rFonts w:hint="eastAsia" w:ascii="宋体" w:hAnsi="宋体" w:eastAsia="宋体" w:cs="宋体"/>
          <w:b w:val="0"/>
          <w:bCs w:val="0"/>
          <w:color w:val="auto"/>
          <w:spacing w:val="-3"/>
          <w:sz w:val="24"/>
          <w:szCs w:val="24"/>
          <w:lang w:val="en-US" w:eastAsia="zh-CN"/>
        </w:rPr>
        <w:t>900-305-34、336-054-17、900-999-49、900-047-49</w:t>
      </w:r>
      <w:r>
        <w:rPr>
          <w:rFonts w:hint="eastAsia" w:ascii="宋体" w:hAnsi="宋体" w:eastAsia="宋体" w:cs="宋体"/>
          <w:b w:val="0"/>
          <w:bCs w:val="0"/>
          <w:color w:val="auto"/>
          <w:spacing w:val="-3"/>
          <w:sz w:val="24"/>
          <w:szCs w:val="24"/>
          <w:lang w:eastAsia="zh-CN"/>
        </w:rPr>
        <w:t>以上四项危险废物</w:t>
      </w:r>
      <w:r>
        <w:rPr>
          <w:rFonts w:hint="eastAsia" w:ascii="宋体" w:hAnsi="宋体" w:eastAsia="宋体" w:cs="宋体"/>
          <w:sz w:val="24"/>
          <w:szCs w:val="24"/>
          <w:lang w:eastAsia="zh-CN"/>
        </w:rPr>
        <w:t>）、信用中国、《危险废物经营许可证》</w:t>
      </w:r>
    </w:p>
    <w:p w14:paraId="6A5AD1FD">
      <w:pPr>
        <w:pStyle w:val="2"/>
        <w:rPr>
          <w:rFonts w:hint="eastAsia"/>
          <w:lang w:val="en-US" w:eastAsia="zh-CN"/>
        </w:rPr>
      </w:pPr>
    </w:p>
    <w:p w14:paraId="72B01041">
      <w:pPr>
        <w:pStyle w:val="2"/>
        <w:keepNext w:val="0"/>
        <w:keepLines w:val="0"/>
        <w:pageBreakBefore w:val="0"/>
        <w:widowControl w:val="0"/>
        <w:kinsoku/>
        <w:wordWrap/>
        <w:overflowPunct/>
        <w:topLinePunct w:val="0"/>
        <w:autoSpaceDE/>
        <w:autoSpaceDN/>
        <w:bidi w:val="0"/>
        <w:snapToGrid w:val="0"/>
        <w:spacing w:line="540" w:lineRule="atLeas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如有需提供：一般纳税人证明、三体系认证、开户行许可证、公司荣誉资质等等</w:t>
      </w:r>
    </w:p>
    <w:p w14:paraId="080CD8BD">
      <w:pPr>
        <w:pStyle w:val="2"/>
        <w:keepNext w:val="0"/>
        <w:keepLines w:val="0"/>
        <w:pageBreakBefore w:val="0"/>
        <w:widowControl w:val="0"/>
        <w:kinsoku/>
        <w:wordWrap/>
        <w:overflowPunct/>
        <w:topLinePunct w:val="0"/>
        <w:autoSpaceDE/>
        <w:autoSpaceDN/>
        <w:bidi w:val="0"/>
        <w:snapToGrid w:val="0"/>
        <w:spacing w:line="540" w:lineRule="atLeast"/>
        <w:rPr>
          <w:rFonts w:hint="eastAsia" w:ascii="宋体" w:hAnsi="宋体" w:eastAsia="宋体" w:cs="宋体"/>
          <w:b w:val="0"/>
          <w:bCs w:val="0"/>
          <w:color w:val="auto"/>
          <w:sz w:val="24"/>
          <w:szCs w:val="24"/>
          <w:highlight w:val="none"/>
          <w:u w:val="none"/>
          <w:lang w:val="en-US" w:eastAsia="zh-CN"/>
        </w:rPr>
      </w:pPr>
    </w:p>
    <w:p w14:paraId="75AFE5F0">
      <w:pPr>
        <w:pStyle w:val="2"/>
        <w:keepNext w:val="0"/>
        <w:keepLines w:val="0"/>
        <w:pageBreakBefore w:val="0"/>
        <w:widowControl w:val="0"/>
        <w:kinsoku/>
        <w:wordWrap/>
        <w:overflowPunct/>
        <w:topLinePunct w:val="0"/>
        <w:autoSpaceDE/>
        <w:autoSpaceDN/>
        <w:bidi w:val="0"/>
        <w:snapToGrid w:val="0"/>
        <w:spacing w:line="540" w:lineRule="atLeas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所有提供的资质加盖公章。</w:t>
      </w:r>
    </w:p>
    <w:p w14:paraId="6EEB2951">
      <w:pPr>
        <w:shd w:val="clear"/>
        <w:adjustRightInd w:val="0"/>
        <w:snapToGrid w:val="0"/>
        <w:spacing w:line="400" w:lineRule="exact"/>
        <w:jc w:val="left"/>
        <w:textAlignment w:val="baseline"/>
        <w:rPr>
          <w:rFonts w:hint="eastAsia" w:ascii="宋体" w:hAnsi="宋体" w:eastAsia="宋体" w:cs="宋体"/>
          <w:sz w:val="24"/>
          <w:szCs w:val="24"/>
        </w:rPr>
      </w:pP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01C2D8EA">
      <w:pPr>
        <w:shd w:val="clear"/>
        <w:adjustRightInd w:val="0"/>
        <w:snapToGrid w:val="0"/>
        <w:spacing w:line="400" w:lineRule="exact"/>
        <w:jc w:val="left"/>
        <w:textAlignment w:val="baseline"/>
        <w:rPr>
          <w:rFonts w:hint="eastAsia" w:ascii="宋体" w:hAnsi="宋体" w:eastAsia="宋体" w:cs="宋体"/>
          <w:sz w:val="24"/>
          <w:szCs w:val="24"/>
        </w:rPr>
      </w:pPr>
    </w:p>
    <w:p w14:paraId="3B3BA4F9">
      <w:pPr>
        <w:shd w:val="clear"/>
        <w:adjustRightInd w:val="0"/>
        <w:snapToGrid w:val="0"/>
        <w:spacing w:line="400" w:lineRule="exact"/>
        <w:jc w:val="left"/>
        <w:textAlignment w:val="baseline"/>
        <w:rPr>
          <w:rFonts w:hint="eastAsia" w:ascii="宋体" w:hAnsi="宋体" w:eastAsia="宋体" w:cs="宋体"/>
          <w:sz w:val="24"/>
          <w:szCs w:val="24"/>
        </w:rPr>
      </w:pPr>
    </w:p>
    <w:p w14:paraId="0F2218A5">
      <w:pPr>
        <w:shd w:val="clear"/>
        <w:adjustRightInd w:val="0"/>
        <w:snapToGrid w:val="0"/>
        <w:spacing w:line="400" w:lineRule="exact"/>
        <w:jc w:val="left"/>
        <w:textAlignment w:val="baseline"/>
        <w:rPr>
          <w:rFonts w:hint="eastAsia" w:ascii="宋体" w:hAnsi="宋体" w:eastAsia="宋体" w:cs="宋体"/>
          <w:sz w:val="24"/>
          <w:szCs w:val="24"/>
        </w:rPr>
      </w:pPr>
    </w:p>
    <w:p w14:paraId="6C520681">
      <w:pPr>
        <w:shd w:val="clear"/>
        <w:adjustRightInd w:val="0"/>
        <w:snapToGrid w:val="0"/>
        <w:spacing w:line="400" w:lineRule="exact"/>
        <w:jc w:val="left"/>
        <w:textAlignment w:val="baseline"/>
        <w:rPr>
          <w:rFonts w:hint="eastAsia" w:ascii="宋体" w:hAnsi="宋体" w:eastAsia="宋体" w:cs="宋体"/>
          <w:sz w:val="24"/>
          <w:szCs w:val="24"/>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bookmarkStart w:id="3" w:name="_GoBack"/>
      <w:bookmarkEnd w:id="3"/>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）响应供应商根据服务内容自行列表报价，附详细报价明细</w:t>
      </w:r>
    </w:p>
    <w:p w14:paraId="2F04BD76">
      <w:pPr>
        <w:pStyle w:val="2"/>
        <w:keepNext w:val="0"/>
        <w:keepLines w:val="0"/>
        <w:pageBreakBefore w:val="0"/>
        <w:widowControl w:val="0"/>
        <w:kinsoku/>
        <w:wordWrap/>
        <w:overflowPunct/>
        <w:topLinePunct w:val="0"/>
        <w:autoSpaceDE/>
        <w:autoSpaceDN/>
        <w:bidi w:val="0"/>
        <w:snapToGrid w:val="0"/>
        <w:spacing w:line="540" w:lineRule="exact"/>
        <w:ind w:firstLine="1200" w:firstLineChars="500"/>
        <w:textAlignment w:val="auto"/>
        <w:rPr>
          <w:rFonts w:hint="eastAsia" w:cs="Times New Roman" w:asciiTheme="minorEastAsia" w:hAnsiTheme="minorEastAsia"/>
          <w:b w:val="0"/>
          <w:bCs w:val="0"/>
          <w:caps/>
          <w:kern w:val="0"/>
          <w:sz w:val="24"/>
          <w:szCs w:val="24"/>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46D2499E">
      <w:pPr>
        <w:pStyle w:val="2"/>
        <w:keepNext w:val="0"/>
        <w:keepLines w:val="0"/>
        <w:pageBreakBefore w:val="0"/>
        <w:widowControl w:val="0"/>
        <w:kinsoku/>
        <w:wordWrap/>
        <w:overflowPunct/>
        <w:topLinePunct w:val="0"/>
        <w:autoSpaceDE/>
        <w:autoSpaceDN/>
        <w:bidi w:val="0"/>
        <w:snapToGrid w:val="0"/>
        <w:spacing w:line="540" w:lineRule="exact"/>
        <w:ind w:firstLine="1200" w:firstLineChars="500"/>
        <w:textAlignment w:val="auto"/>
        <w:rPr>
          <w:rFonts w:hint="eastAsia" w:cs="Times New Roman" w:asciiTheme="minorEastAsia" w:hAnsiTheme="minorEastAsia"/>
          <w:b w:val="0"/>
          <w:bCs w:val="0"/>
          <w:caps/>
          <w:kern w:val="0"/>
          <w:sz w:val="24"/>
          <w:szCs w:val="24"/>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3</w:t>
      </w:r>
      <w:r>
        <w:rPr>
          <w:rFonts w:hint="eastAsia" w:cs="Times New Roman" w:asciiTheme="minorEastAsia" w:hAnsiTheme="minorEastAsia"/>
          <w:b w:val="0"/>
          <w:bCs w:val="0"/>
          <w:caps/>
          <w:kern w:val="0"/>
          <w:sz w:val="24"/>
          <w:szCs w:val="24"/>
          <w:lang w:eastAsia="zh-CN"/>
        </w:rPr>
        <w:t>）报价不得高于本项目预算</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00BDDFA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22</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3</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rPr>
        <w:t>其它响应资料</w:t>
      </w:r>
    </w:p>
    <w:p w14:paraId="5ED9FECC">
      <w:pPr>
        <w:shd w:val="clear"/>
        <w:spacing w:line="400" w:lineRule="exact"/>
        <w:rPr>
          <w:rFonts w:ascii="宋体" w:hAnsi="宋体" w:eastAsia="宋体" w:cs="宋体"/>
          <w:bCs/>
          <w:sz w:val="24"/>
          <w:szCs w:val="24"/>
        </w:rPr>
      </w:pPr>
    </w:p>
    <w:p w14:paraId="4BF52DA1">
      <w:pPr>
        <w:pStyle w:val="2"/>
      </w:pPr>
      <w:r>
        <w:rPr>
          <w:rFonts w:hint="eastAsia" w:ascii="宋体" w:hAnsi="宋体" w:eastAsia="宋体" w:cs="宋体"/>
          <w:b w:val="0"/>
          <w:bCs w:val="0"/>
          <w:color w:val="auto"/>
          <w:spacing w:val="-3"/>
          <w:sz w:val="24"/>
          <w:szCs w:val="24"/>
          <w:lang w:eastAsia="zh-CN"/>
        </w:rPr>
        <w:t>供应商需提供相应的运输应急预案及其他服务说明</w:t>
      </w:r>
    </w:p>
    <w:p w14:paraId="793B2420">
      <w:pPr>
        <w:shd w:val="clear"/>
        <w:spacing w:line="400" w:lineRule="exact"/>
        <w:rPr>
          <w:rFonts w:ascii="宋体" w:hAnsi="宋体" w:eastAsia="宋体" w:cs="宋体"/>
          <w:bCs/>
          <w:sz w:val="24"/>
          <w:szCs w:val="24"/>
        </w:rPr>
      </w:pP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4404903"/>
    <w:rsid w:val="062709AF"/>
    <w:rsid w:val="0667543C"/>
    <w:rsid w:val="06EF029F"/>
    <w:rsid w:val="09FB2DEB"/>
    <w:rsid w:val="0C88380B"/>
    <w:rsid w:val="0CD16F7A"/>
    <w:rsid w:val="0D7019FB"/>
    <w:rsid w:val="10C76755"/>
    <w:rsid w:val="140E2149"/>
    <w:rsid w:val="18463B3B"/>
    <w:rsid w:val="1CC161ED"/>
    <w:rsid w:val="1E2117AC"/>
    <w:rsid w:val="1F0473BB"/>
    <w:rsid w:val="203C46E1"/>
    <w:rsid w:val="204C488B"/>
    <w:rsid w:val="20B632AB"/>
    <w:rsid w:val="216E0257"/>
    <w:rsid w:val="22616928"/>
    <w:rsid w:val="22A540C7"/>
    <w:rsid w:val="2AD42DD9"/>
    <w:rsid w:val="2B155F73"/>
    <w:rsid w:val="2C7546FD"/>
    <w:rsid w:val="31145778"/>
    <w:rsid w:val="31E652CA"/>
    <w:rsid w:val="32E5312C"/>
    <w:rsid w:val="3431715F"/>
    <w:rsid w:val="38292370"/>
    <w:rsid w:val="39336CC1"/>
    <w:rsid w:val="3B1344D0"/>
    <w:rsid w:val="3FC61BBF"/>
    <w:rsid w:val="41866A87"/>
    <w:rsid w:val="42AD6C5D"/>
    <w:rsid w:val="43734829"/>
    <w:rsid w:val="44231A85"/>
    <w:rsid w:val="47EC3E16"/>
    <w:rsid w:val="4A906A90"/>
    <w:rsid w:val="4AE579A5"/>
    <w:rsid w:val="4C78235F"/>
    <w:rsid w:val="4D680EAD"/>
    <w:rsid w:val="4D856642"/>
    <w:rsid w:val="4F8D77B2"/>
    <w:rsid w:val="4FCB2326"/>
    <w:rsid w:val="53855B7B"/>
    <w:rsid w:val="579B310A"/>
    <w:rsid w:val="580F5BC6"/>
    <w:rsid w:val="584E21A5"/>
    <w:rsid w:val="5AC90250"/>
    <w:rsid w:val="5B7F05AD"/>
    <w:rsid w:val="5E814684"/>
    <w:rsid w:val="609C36CF"/>
    <w:rsid w:val="65295C8B"/>
    <w:rsid w:val="65E01B77"/>
    <w:rsid w:val="664D3850"/>
    <w:rsid w:val="67565227"/>
    <w:rsid w:val="682A4A82"/>
    <w:rsid w:val="6E265769"/>
    <w:rsid w:val="6ED76403"/>
    <w:rsid w:val="703B79D3"/>
    <w:rsid w:val="71D87086"/>
    <w:rsid w:val="7235622E"/>
    <w:rsid w:val="7AC50736"/>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 w:type="paragraph" w:customStyle="1" w:styleId="34">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12</Pages>
  <Words>2562</Words>
  <Characters>2764</Characters>
  <Lines>40</Lines>
  <Paragraphs>11</Paragraphs>
  <TotalTime>1</TotalTime>
  <ScaleCrop>false</ScaleCrop>
  <LinksUpToDate>false</LinksUpToDate>
  <CharactersWithSpaces>2801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2025-12-26T01:43:43Z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CFE792304B45478B9D82131D4E6D9CE8_13</vt:lpwstr>
  </property>
  <property fmtid="{D5CDD505-2E9C-101B-9397-08002B2CF9AE}" pid="4" name="KSOTemplateDocerSaveRecord">
    <vt:lpwstr>eyJoZGlkIjoiM2I2NmI4ZDQ0NzA4M2RhNWQ0MTVmNzMxZjNlOTYxY2EiLCJ1c2VySWQiOiI0NDk3MjgxNDAifQ==</vt:lpwstr>
  </property>
</Properties>
</file>